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F2" w:rsidRDefault="00224DF2" w:rsidP="00224DF2">
      <w:pPr>
        <w:ind w:left="2880" w:firstLine="720"/>
        <w:jc w:val="both"/>
        <w:rPr>
          <w:b/>
          <w:bCs/>
          <w:sz w:val="28"/>
          <w:szCs w:val="24"/>
          <w:u w:val="single"/>
        </w:rPr>
      </w:pPr>
      <w:r>
        <w:rPr>
          <w:b/>
          <w:bCs/>
          <w:sz w:val="28"/>
          <w:szCs w:val="24"/>
          <w:u w:val="single"/>
        </w:rPr>
        <w:t>Annexure-II</w:t>
      </w:r>
    </w:p>
    <w:p w:rsidR="008171B5" w:rsidRPr="0089216C" w:rsidRDefault="008171B5" w:rsidP="00234E68">
      <w:pPr>
        <w:ind w:left="720" w:hanging="360"/>
        <w:jc w:val="both"/>
        <w:rPr>
          <w:b/>
          <w:bCs/>
        </w:rPr>
      </w:pPr>
      <w:r w:rsidRPr="0089216C">
        <w:rPr>
          <w:b/>
          <w:bCs/>
          <w:sz w:val="28"/>
          <w:szCs w:val="24"/>
          <w:u w:val="single"/>
        </w:rPr>
        <w:t>Justification for the Energy Balance of 5th and 6th Control Periods</w:t>
      </w:r>
    </w:p>
    <w:p w:rsidR="008171B5" w:rsidRDefault="008171B5" w:rsidP="008171B5">
      <w:pPr>
        <w:jc w:val="both"/>
      </w:pPr>
      <w:r>
        <w:t>The energy balance of the State as submitted in the Resource Plan filings for 5</w:t>
      </w:r>
      <w:r w:rsidRPr="00D26A06">
        <w:rPr>
          <w:vertAlign w:val="superscript"/>
        </w:rPr>
        <w:t>th</w:t>
      </w:r>
      <w:r>
        <w:t xml:space="preserve"> and 6</w:t>
      </w:r>
      <w:r w:rsidRPr="00D26A06">
        <w:rPr>
          <w:vertAlign w:val="superscript"/>
        </w:rPr>
        <w:t>th</w:t>
      </w:r>
      <w:r>
        <w:t xml:space="preserve"> Control Periods is as follows:</w:t>
      </w:r>
    </w:p>
    <w:p w:rsidR="008171B5" w:rsidRDefault="008171B5" w:rsidP="008171B5">
      <w:pPr>
        <w:pStyle w:val="Caption"/>
      </w:pPr>
      <w:r>
        <w:t xml:space="preserve">Table </w:t>
      </w:r>
      <w:r w:rsidR="008737D4">
        <w:fldChar w:fldCharType="begin"/>
      </w:r>
      <w:r w:rsidR="00E7272A">
        <w:instrText xml:space="preserve"> SEQ Table \* ARABIC </w:instrText>
      </w:r>
      <w:r w:rsidR="008737D4">
        <w:fldChar w:fldCharType="separate"/>
      </w:r>
      <w:r w:rsidR="00D41256">
        <w:rPr>
          <w:noProof/>
        </w:rPr>
        <w:t>1</w:t>
      </w:r>
      <w:r w:rsidR="008737D4">
        <w:rPr>
          <w:noProof/>
        </w:rPr>
        <w:fldChar w:fldCharType="end"/>
      </w:r>
      <w:r>
        <w:t xml:space="preserve"> Energy Balance of the State as submitted in Resource Plan filing (Figures in MU)</w:t>
      </w:r>
    </w:p>
    <w:tbl>
      <w:tblPr>
        <w:tblW w:w="10906" w:type="dxa"/>
        <w:tblInd w:w="-545" w:type="dxa"/>
        <w:tblLayout w:type="fixed"/>
        <w:tblLook w:val="04A0"/>
      </w:tblPr>
      <w:tblGrid>
        <w:gridCol w:w="1763"/>
        <w:gridCol w:w="914"/>
        <w:gridCol w:w="914"/>
        <w:gridCol w:w="914"/>
        <w:gridCol w:w="914"/>
        <w:gridCol w:w="915"/>
        <w:gridCol w:w="914"/>
        <w:gridCol w:w="914"/>
        <w:gridCol w:w="914"/>
        <w:gridCol w:w="914"/>
        <w:gridCol w:w="916"/>
      </w:tblGrid>
      <w:tr w:rsidR="008171B5" w:rsidRPr="00CC262D" w:rsidTr="00976D04">
        <w:trPr>
          <w:trHeight w:val="218"/>
        </w:trPr>
        <w:tc>
          <w:tcPr>
            <w:tcW w:w="1763" w:type="dxa"/>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Particular</w:t>
            </w:r>
          </w:p>
        </w:tc>
        <w:tc>
          <w:tcPr>
            <w:tcW w:w="9143" w:type="dxa"/>
            <w:gridSpan w:val="10"/>
            <w:tcBorders>
              <w:top w:val="single" w:sz="4" w:space="0" w:color="auto"/>
              <w:left w:val="nil"/>
              <w:bottom w:val="single" w:sz="4" w:space="0" w:color="auto"/>
              <w:right w:val="single" w:sz="4" w:space="0" w:color="auto"/>
            </w:tcBorders>
            <w:shd w:val="clear" w:color="000000" w:fill="FF89FF"/>
            <w:noWrap/>
            <w:vAlign w:val="bottom"/>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 xml:space="preserve">Energy Balance in </w:t>
            </w:r>
            <w:proofErr w:type="spellStart"/>
            <w:r w:rsidRPr="00CC262D">
              <w:rPr>
                <w:rFonts w:asciiTheme="minorHAnsi" w:eastAsia="Times New Roman" w:hAnsiTheme="minorHAnsi" w:cstheme="minorHAnsi"/>
                <w:b/>
                <w:bCs/>
                <w:color w:val="000000"/>
                <w:sz w:val="22"/>
              </w:rPr>
              <w:t>Telangana</w:t>
            </w:r>
            <w:proofErr w:type="spellEnd"/>
            <w:r w:rsidRPr="00CC262D">
              <w:rPr>
                <w:rFonts w:asciiTheme="minorHAnsi" w:eastAsia="Times New Roman" w:hAnsiTheme="minorHAnsi" w:cstheme="minorHAnsi"/>
                <w:b/>
                <w:bCs/>
                <w:color w:val="000000"/>
                <w:sz w:val="22"/>
              </w:rPr>
              <w:t xml:space="preserve"> State</w:t>
            </w:r>
          </w:p>
        </w:tc>
      </w:tr>
      <w:tr w:rsidR="008171B5" w:rsidRPr="00CC262D" w:rsidTr="00976D04">
        <w:trPr>
          <w:trHeight w:val="218"/>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8171B5" w:rsidRPr="00CC262D" w:rsidRDefault="008171B5" w:rsidP="0005553A">
            <w:pPr>
              <w:spacing w:after="0" w:line="240" w:lineRule="auto"/>
              <w:rPr>
                <w:rFonts w:asciiTheme="minorHAnsi" w:eastAsia="Times New Roman" w:hAnsiTheme="minorHAnsi" w:cstheme="minorHAnsi"/>
                <w:b/>
                <w:bCs/>
                <w:color w:val="000000"/>
                <w:sz w:val="22"/>
              </w:rPr>
            </w:pPr>
          </w:p>
        </w:tc>
        <w:tc>
          <w:tcPr>
            <w:tcW w:w="4571" w:type="dxa"/>
            <w:gridSpan w:val="5"/>
            <w:tcBorders>
              <w:top w:val="single" w:sz="4" w:space="0" w:color="auto"/>
              <w:left w:val="nil"/>
              <w:bottom w:val="single" w:sz="4" w:space="0" w:color="auto"/>
              <w:right w:val="single" w:sz="4" w:space="0" w:color="auto"/>
            </w:tcBorders>
            <w:shd w:val="clear" w:color="000000" w:fill="FFF2CC"/>
            <w:noWrap/>
            <w:vAlign w:val="bottom"/>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5th Control Period</w:t>
            </w:r>
          </w:p>
        </w:tc>
        <w:tc>
          <w:tcPr>
            <w:tcW w:w="4572" w:type="dxa"/>
            <w:gridSpan w:val="5"/>
            <w:tcBorders>
              <w:top w:val="single" w:sz="4" w:space="0" w:color="auto"/>
              <w:left w:val="nil"/>
              <w:bottom w:val="single" w:sz="4" w:space="0" w:color="auto"/>
              <w:right w:val="single" w:sz="4" w:space="0" w:color="auto"/>
            </w:tcBorders>
            <w:shd w:val="clear" w:color="000000" w:fill="FCE4D6"/>
            <w:noWrap/>
            <w:vAlign w:val="bottom"/>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6th Control Period</w:t>
            </w:r>
          </w:p>
        </w:tc>
      </w:tr>
      <w:tr w:rsidR="008171B5" w:rsidRPr="000941B2" w:rsidTr="00976D04">
        <w:trPr>
          <w:trHeight w:val="218"/>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8171B5" w:rsidRPr="00CC262D" w:rsidRDefault="008171B5" w:rsidP="0005553A">
            <w:pPr>
              <w:spacing w:after="0" w:line="240" w:lineRule="auto"/>
              <w:rPr>
                <w:rFonts w:asciiTheme="minorHAnsi" w:eastAsia="Times New Roman" w:hAnsiTheme="minorHAnsi" w:cstheme="minorHAnsi"/>
                <w:b/>
                <w:bCs/>
                <w:color w:val="000000"/>
                <w:sz w:val="22"/>
              </w:rPr>
            </w:pP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2024-25</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2025-26</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2026-27</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2027-28</w:t>
            </w:r>
          </w:p>
        </w:tc>
        <w:tc>
          <w:tcPr>
            <w:tcW w:w="915"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2028-29</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2029-30</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2030-31</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2031-32</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2032-33</w:t>
            </w:r>
          </w:p>
        </w:tc>
        <w:tc>
          <w:tcPr>
            <w:tcW w:w="916"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2033-34</w:t>
            </w:r>
          </w:p>
        </w:tc>
      </w:tr>
      <w:tr w:rsidR="008171B5" w:rsidRPr="000941B2" w:rsidTr="00976D04">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8171B5" w:rsidRPr="00CC262D" w:rsidRDefault="008171B5" w:rsidP="0005553A">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Availability</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121754</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127451</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127126</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126658</w:t>
            </w:r>
          </w:p>
        </w:tc>
        <w:tc>
          <w:tcPr>
            <w:tcW w:w="915"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122090</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115424</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114555</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114608</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114601</w:t>
            </w:r>
          </w:p>
        </w:tc>
        <w:tc>
          <w:tcPr>
            <w:tcW w:w="916"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114657</w:t>
            </w:r>
          </w:p>
        </w:tc>
      </w:tr>
      <w:tr w:rsidR="008171B5" w:rsidRPr="000941B2" w:rsidTr="00976D04">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8171B5" w:rsidRPr="00CC262D" w:rsidRDefault="008171B5" w:rsidP="0005553A">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Requirement</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84997</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89768</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94774</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100285</w:t>
            </w:r>
          </w:p>
        </w:tc>
        <w:tc>
          <w:tcPr>
            <w:tcW w:w="915"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105957</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111638</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118116</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125101</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132599</w:t>
            </w:r>
          </w:p>
        </w:tc>
        <w:tc>
          <w:tcPr>
            <w:tcW w:w="916"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140637</w:t>
            </w:r>
          </w:p>
        </w:tc>
      </w:tr>
      <w:tr w:rsidR="001C0A99" w:rsidRPr="000941B2" w:rsidTr="005E2412">
        <w:trPr>
          <w:trHeight w:val="218"/>
        </w:trPr>
        <w:tc>
          <w:tcPr>
            <w:tcW w:w="1763" w:type="dxa"/>
            <w:tcBorders>
              <w:top w:val="nil"/>
              <w:left w:val="single" w:sz="4" w:space="0" w:color="auto"/>
              <w:bottom w:val="single" w:sz="4" w:space="0" w:color="auto"/>
              <w:right w:val="single" w:sz="4" w:space="0" w:color="auto"/>
            </w:tcBorders>
            <w:shd w:val="clear" w:color="000000" w:fill="FFC000"/>
            <w:noWrap/>
            <w:vAlign w:val="bottom"/>
            <w:hideMark/>
          </w:tcPr>
          <w:p w:rsidR="008171B5" w:rsidRPr="00CC262D" w:rsidRDefault="008171B5" w:rsidP="0005553A">
            <w:pPr>
              <w:spacing w:after="0" w:line="240" w:lineRule="auto"/>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Surplus/(Deficit)</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36758</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37683</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32352</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26374</w:t>
            </w:r>
          </w:p>
        </w:tc>
        <w:tc>
          <w:tcPr>
            <w:tcW w:w="915"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16133</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3786</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(3561)</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(10493)</w:t>
            </w:r>
          </w:p>
        </w:tc>
        <w:tc>
          <w:tcPr>
            <w:tcW w:w="914"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(17997)</w:t>
            </w:r>
          </w:p>
        </w:tc>
        <w:tc>
          <w:tcPr>
            <w:tcW w:w="916" w:type="dxa"/>
            <w:tcBorders>
              <w:top w:val="nil"/>
              <w:left w:val="nil"/>
              <w:bottom w:val="single" w:sz="4" w:space="0" w:color="auto"/>
              <w:right w:val="single" w:sz="4" w:space="0" w:color="auto"/>
            </w:tcBorders>
            <w:shd w:val="clear" w:color="000000" w:fill="FFC000"/>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(25981)</w:t>
            </w:r>
          </w:p>
        </w:tc>
      </w:tr>
      <w:tr w:rsidR="00593C29" w:rsidRPr="000941B2" w:rsidTr="00976D04">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93C29" w:rsidRPr="00CC262D" w:rsidRDefault="00593C29" w:rsidP="00593C29">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 of Surplus to Availability</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43%</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42%</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34%</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26%</w:t>
            </w:r>
          </w:p>
        </w:tc>
        <w:tc>
          <w:tcPr>
            <w:tcW w:w="915"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15%</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3%</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-3%</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-8%</w:t>
            </w:r>
          </w:p>
        </w:tc>
        <w:tc>
          <w:tcPr>
            <w:tcW w:w="914"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-14%</w:t>
            </w:r>
          </w:p>
        </w:tc>
        <w:tc>
          <w:tcPr>
            <w:tcW w:w="916" w:type="dxa"/>
            <w:tcBorders>
              <w:top w:val="nil"/>
              <w:left w:val="nil"/>
              <w:bottom w:val="single" w:sz="4" w:space="0" w:color="auto"/>
              <w:right w:val="single" w:sz="4" w:space="0" w:color="auto"/>
            </w:tcBorders>
            <w:shd w:val="clear" w:color="auto" w:fill="auto"/>
            <w:noWrap/>
            <w:vAlign w:val="center"/>
            <w:hideMark/>
          </w:tcPr>
          <w:p w:rsidR="00593C29" w:rsidRPr="00CC262D" w:rsidRDefault="00593C29" w:rsidP="00593C29">
            <w:pPr>
              <w:spacing w:after="0" w:line="240" w:lineRule="auto"/>
              <w:jc w:val="center"/>
              <w:rPr>
                <w:rFonts w:asciiTheme="minorHAnsi" w:eastAsia="Times New Roman" w:hAnsiTheme="minorHAnsi" w:cstheme="minorHAnsi"/>
                <w:color w:val="000000"/>
                <w:sz w:val="22"/>
              </w:rPr>
            </w:pPr>
            <w:r>
              <w:rPr>
                <w:rFonts w:cs="Calibri"/>
                <w:color w:val="000000"/>
                <w:sz w:val="22"/>
              </w:rPr>
              <w:t>-18%</w:t>
            </w:r>
          </w:p>
        </w:tc>
      </w:tr>
    </w:tbl>
    <w:p w:rsidR="008171B5" w:rsidRDefault="008171B5" w:rsidP="008171B5">
      <w:pPr>
        <w:jc w:val="both"/>
      </w:pPr>
      <w:r>
        <w:t xml:space="preserve">From the above Energy Balance, it can be seen that there is a surplus </w:t>
      </w:r>
      <w:r w:rsidR="009E6FD3">
        <w:t>of power</w:t>
      </w:r>
      <w:r>
        <w:t xml:space="preserve"> in the 5</w:t>
      </w:r>
      <w:r w:rsidRPr="00ED6224">
        <w:rPr>
          <w:vertAlign w:val="superscript"/>
        </w:rPr>
        <w:t>th</w:t>
      </w:r>
      <w:r>
        <w:t xml:space="preserve"> Control Period which is decreasing from </w:t>
      </w:r>
      <w:r w:rsidR="00593C29">
        <w:t>43</w:t>
      </w:r>
      <w:r>
        <w:t>% in FY 2024-25 to 1</w:t>
      </w:r>
      <w:r w:rsidR="00593C29">
        <w:t>5</w:t>
      </w:r>
      <w:r>
        <w:t>% in FY 2028-29 and in the 6</w:t>
      </w:r>
      <w:r w:rsidRPr="009F628E">
        <w:rPr>
          <w:vertAlign w:val="superscript"/>
        </w:rPr>
        <w:t>th</w:t>
      </w:r>
      <w:r>
        <w:t xml:space="preserve"> Control Period there is a deficit which is increasing from 3% to </w:t>
      </w:r>
      <w:r w:rsidR="00B51E81">
        <w:t>18</w:t>
      </w:r>
      <w:r>
        <w:t>% except in the first year of 6</w:t>
      </w:r>
      <w:r w:rsidRPr="00463D2E">
        <w:rPr>
          <w:vertAlign w:val="superscript"/>
        </w:rPr>
        <w:t>th</w:t>
      </w:r>
      <w:r>
        <w:t xml:space="preserve"> Control Period where there is a nominal surplus of 3%. </w:t>
      </w:r>
    </w:p>
    <w:p w:rsidR="008171B5" w:rsidRDefault="00065E4D" w:rsidP="008171B5">
      <w:pPr>
        <w:jc w:val="both"/>
      </w:pPr>
      <w:r>
        <w:t>The above energy balance i.e.</w:t>
      </w:r>
      <w:r w:rsidR="00572DAB">
        <w:t>,</w:t>
      </w:r>
      <w:r>
        <w:t xml:space="preserve"> both Energy Availability &amp; Energy Requirement gets </w:t>
      </w:r>
      <w:proofErr w:type="gramStart"/>
      <w:r>
        <w:t>effected</w:t>
      </w:r>
      <w:proofErr w:type="gramEnd"/>
      <w:r>
        <w:t xml:space="preserve"> significantly in the following circumstances.</w:t>
      </w:r>
    </w:p>
    <w:p w:rsidR="00065E4D" w:rsidRDefault="0039196D">
      <w:pPr>
        <w:pStyle w:val="ListParagraph"/>
        <w:numPr>
          <w:ilvl w:val="0"/>
          <w:numId w:val="15"/>
        </w:numPr>
        <w:jc w:val="both"/>
      </w:pPr>
      <w:r>
        <w:t xml:space="preserve">Projected sales from I&amp;CAD for the Lift Irrigation Schemes </w:t>
      </w:r>
      <w:r w:rsidR="00A4543F">
        <w:t xml:space="preserve">for </w:t>
      </w:r>
      <w:r w:rsidR="00A4543F" w:rsidRPr="00A4543F">
        <w:t xml:space="preserve">5th and 6th Control Period </w:t>
      </w:r>
    </w:p>
    <w:p w:rsidR="00677F2C" w:rsidRPr="008B76BE" w:rsidRDefault="00677F2C" w:rsidP="00677F2C">
      <w:pPr>
        <w:pStyle w:val="ListParagraph"/>
        <w:numPr>
          <w:ilvl w:val="0"/>
          <w:numId w:val="15"/>
        </w:numPr>
        <w:jc w:val="both"/>
      </w:pPr>
      <w:r w:rsidRPr="008B76BE">
        <w:t>Delay in Commissioning of new Generating Stations</w:t>
      </w:r>
    </w:p>
    <w:p w:rsidR="0041423C" w:rsidRPr="0041423C" w:rsidRDefault="00677F2C" w:rsidP="0041423C">
      <w:pPr>
        <w:pStyle w:val="ListParagraph"/>
        <w:numPr>
          <w:ilvl w:val="0"/>
          <w:numId w:val="15"/>
        </w:numPr>
        <w:jc w:val="both"/>
      </w:pPr>
      <w:r>
        <w:t xml:space="preserve">Variation of </w:t>
      </w:r>
      <w:r w:rsidRPr="008B76BE">
        <w:t>Actual PLF</w:t>
      </w:r>
      <w:r>
        <w:t xml:space="preserve"> when compared to Normative </w:t>
      </w:r>
    </w:p>
    <w:p w:rsidR="0041423C" w:rsidRPr="0041423C" w:rsidRDefault="0041423C" w:rsidP="0041423C">
      <w:pPr>
        <w:pStyle w:val="ListParagraph"/>
        <w:jc w:val="both"/>
        <w:rPr>
          <w:b/>
          <w:bCs/>
        </w:rPr>
      </w:pPr>
    </w:p>
    <w:p w:rsidR="0041423C" w:rsidRPr="0041423C" w:rsidRDefault="00A4543F" w:rsidP="0041423C">
      <w:pPr>
        <w:jc w:val="both"/>
        <w:rPr>
          <w:b/>
          <w:bCs/>
        </w:rPr>
      </w:pPr>
      <w:r>
        <w:rPr>
          <w:b/>
          <w:bCs/>
        </w:rPr>
        <w:t xml:space="preserve">A) </w:t>
      </w:r>
      <w:r w:rsidR="0041423C" w:rsidRPr="0041423C">
        <w:rPr>
          <w:b/>
          <w:bCs/>
        </w:rPr>
        <w:t>Projected sales from I&amp;CAD for the Lift Irrigation Schemes</w:t>
      </w:r>
      <w:r w:rsidR="00572DAB">
        <w:rPr>
          <w:b/>
          <w:bCs/>
        </w:rPr>
        <w:t xml:space="preserve"> for</w:t>
      </w:r>
      <w:r w:rsidR="0041423C" w:rsidRPr="0041423C">
        <w:rPr>
          <w:b/>
          <w:bCs/>
        </w:rPr>
        <w:t xml:space="preserve"> </w:t>
      </w:r>
      <w:r w:rsidR="00572DAB">
        <w:rPr>
          <w:b/>
          <w:bCs/>
        </w:rPr>
        <w:t>5</w:t>
      </w:r>
      <w:r w:rsidR="0041423C" w:rsidRPr="0041423C">
        <w:rPr>
          <w:b/>
          <w:bCs/>
          <w:vertAlign w:val="superscript"/>
        </w:rPr>
        <w:t>th</w:t>
      </w:r>
      <w:r w:rsidR="00572DAB">
        <w:rPr>
          <w:b/>
          <w:bCs/>
        </w:rPr>
        <w:t xml:space="preserve"> and 6</w:t>
      </w:r>
      <w:r w:rsidR="0041423C" w:rsidRPr="0041423C">
        <w:rPr>
          <w:b/>
          <w:bCs/>
          <w:vertAlign w:val="superscript"/>
        </w:rPr>
        <w:t>th</w:t>
      </w:r>
      <w:r w:rsidR="00572DAB">
        <w:rPr>
          <w:b/>
          <w:bCs/>
        </w:rPr>
        <w:t xml:space="preserve"> Control Period </w:t>
      </w:r>
    </w:p>
    <w:p w:rsidR="00572DAB" w:rsidRDefault="00572DAB" w:rsidP="00572DAB">
      <w:pPr>
        <w:jc w:val="both"/>
      </w:pPr>
      <w:r>
        <w:t xml:space="preserve">The energy balance of the State provided in the Resource Plan is </w:t>
      </w:r>
      <w:r w:rsidRPr="000E733D">
        <w:t>considering the energy requirement which is dependent on the projection of sales of individual categories of consumers</w:t>
      </w:r>
      <w:r>
        <w:t xml:space="preserve"> and any variation of actual sales with projected sales will have an impact on the energy balance.</w:t>
      </w:r>
    </w:p>
    <w:p w:rsidR="00572DAB" w:rsidRDefault="00572DAB" w:rsidP="00572DAB">
      <w:pPr>
        <w:jc w:val="both"/>
      </w:pPr>
      <w:r>
        <w:t xml:space="preserve">The projection of one of the major contributors of sales of </w:t>
      </w:r>
      <w:proofErr w:type="spellStart"/>
      <w:r>
        <w:t>Discoms</w:t>
      </w:r>
      <w:proofErr w:type="spellEnd"/>
      <w:r>
        <w:t xml:space="preserve"> i.e., sales of Lift Irrigation Schemes (falling under 132 kV level of HT IV </w:t>
      </w:r>
      <w:proofErr w:type="gramStart"/>
      <w:r>
        <w:t>A</w:t>
      </w:r>
      <w:proofErr w:type="gramEnd"/>
      <w:r>
        <w:t xml:space="preserve"> Category) is very challenging. The </w:t>
      </w:r>
      <w:r w:rsidRPr="0006214A">
        <w:t>growth trend in this category has many variations due to variations in the operation of Lift Irrigation pumps based on rainfall, water levels in reservoirs, etc.</w:t>
      </w:r>
      <w:r>
        <w:t xml:space="preserve"> Considering the implementation of ambitious lift irrigation projects, the projections for this category for 4</w:t>
      </w:r>
      <w:r w:rsidRPr="00976D04">
        <w:rPr>
          <w:vertAlign w:val="superscript"/>
        </w:rPr>
        <w:t>th</w:t>
      </w:r>
      <w:r>
        <w:t xml:space="preserve"> and 5</w:t>
      </w:r>
      <w:r w:rsidRPr="00976D04">
        <w:rPr>
          <w:vertAlign w:val="superscript"/>
        </w:rPr>
        <w:t>th</w:t>
      </w:r>
      <w:r>
        <w:t xml:space="preserve"> Control Period have been made considering the </w:t>
      </w:r>
      <w:r w:rsidRPr="00E575F0">
        <w:t>submissions made by I</w:t>
      </w:r>
      <w:r>
        <w:t xml:space="preserve"> </w:t>
      </w:r>
      <w:r w:rsidRPr="00E575F0">
        <w:t>&amp; CAD Department</w:t>
      </w:r>
      <w:r>
        <w:t xml:space="preserve">. The </w:t>
      </w:r>
      <w:proofErr w:type="gramStart"/>
      <w:r>
        <w:t>quantum of sales considered during the Resource Plan filings done for 4</w:t>
      </w:r>
      <w:r w:rsidRPr="00FA5929">
        <w:rPr>
          <w:vertAlign w:val="superscript"/>
        </w:rPr>
        <w:t>th</w:t>
      </w:r>
      <w:r>
        <w:t xml:space="preserve"> and 5</w:t>
      </w:r>
      <w:r w:rsidRPr="00FA5929">
        <w:rPr>
          <w:vertAlign w:val="superscript"/>
        </w:rPr>
        <w:t>th</w:t>
      </w:r>
      <w:r>
        <w:t xml:space="preserve"> Control Period are</w:t>
      </w:r>
      <w:proofErr w:type="gramEnd"/>
      <w:r>
        <w:t xml:space="preserve"> as follows:</w:t>
      </w:r>
    </w:p>
    <w:p w:rsidR="00572DAB" w:rsidRDefault="00572DAB" w:rsidP="00572DAB">
      <w:pPr>
        <w:pStyle w:val="Caption"/>
      </w:pPr>
      <w:r>
        <w:lastRenderedPageBreak/>
        <w:t xml:space="preserve">Table </w:t>
      </w:r>
      <w:r w:rsidR="008737D4">
        <w:fldChar w:fldCharType="begin"/>
      </w:r>
      <w:r>
        <w:instrText xml:space="preserve"> SEQ Table \* ARABIC </w:instrText>
      </w:r>
      <w:r w:rsidR="008737D4">
        <w:fldChar w:fldCharType="separate"/>
      </w:r>
      <w:r w:rsidR="00D41256">
        <w:rPr>
          <w:noProof/>
        </w:rPr>
        <w:t>2</w:t>
      </w:r>
      <w:r w:rsidR="008737D4">
        <w:rPr>
          <w:noProof/>
        </w:rPr>
        <w:fldChar w:fldCharType="end"/>
      </w:r>
      <w:r>
        <w:t xml:space="preserve"> Sales of Lift Irrigation schemes considered in Resource Plan filings for 4</w:t>
      </w:r>
      <w:r w:rsidRPr="00240995">
        <w:rPr>
          <w:vertAlign w:val="superscript"/>
        </w:rPr>
        <w:t>th</w:t>
      </w:r>
      <w:r>
        <w:t xml:space="preserve"> and 5</w:t>
      </w:r>
      <w:r w:rsidRPr="00240995">
        <w:rPr>
          <w:vertAlign w:val="superscript"/>
        </w:rPr>
        <w:t>th</w:t>
      </w:r>
      <w:r>
        <w:t xml:space="preserve"> CP (MU)</w:t>
      </w:r>
    </w:p>
    <w:tbl>
      <w:tblPr>
        <w:tblW w:w="10890" w:type="dxa"/>
        <w:tblInd w:w="-545" w:type="dxa"/>
        <w:tblLayout w:type="fixed"/>
        <w:tblLook w:val="04A0"/>
      </w:tblPr>
      <w:tblGrid>
        <w:gridCol w:w="1345"/>
        <w:gridCol w:w="867"/>
        <w:gridCol w:w="868"/>
        <w:gridCol w:w="868"/>
        <w:gridCol w:w="867"/>
        <w:gridCol w:w="868"/>
        <w:gridCol w:w="868"/>
        <w:gridCol w:w="868"/>
        <w:gridCol w:w="867"/>
        <w:gridCol w:w="868"/>
        <w:gridCol w:w="868"/>
        <w:gridCol w:w="868"/>
      </w:tblGrid>
      <w:tr w:rsidR="00572DAB" w:rsidRPr="00CE4FBC" w:rsidTr="008B76BE">
        <w:trPr>
          <w:trHeight w:val="255"/>
        </w:trPr>
        <w:tc>
          <w:tcPr>
            <w:tcW w:w="1345"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Particulars</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2018-19</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2019-20</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2020-21</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2021-22</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2022-23</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2023-24</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2024-25</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2025-26</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2026-27</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2027-28</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572DAB" w:rsidRPr="00CE4FBC" w:rsidRDefault="00572DAB" w:rsidP="008B76BE">
            <w:pPr>
              <w:spacing w:after="0" w:line="240" w:lineRule="auto"/>
              <w:jc w:val="center"/>
              <w:rPr>
                <w:rFonts w:eastAsia="Times New Roman" w:cs="Calibri"/>
                <w:b/>
                <w:bCs/>
                <w:sz w:val="22"/>
              </w:rPr>
            </w:pPr>
            <w:r w:rsidRPr="007D6C10">
              <w:rPr>
                <w:rFonts w:cs="Calibri"/>
                <w:b/>
                <w:bCs/>
                <w:sz w:val="22"/>
              </w:rPr>
              <w:t>2028-29</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572DAB" w:rsidRPr="00CE4FBC" w:rsidRDefault="00572DAB" w:rsidP="008B76BE">
            <w:pPr>
              <w:spacing w:after="0" w:line="240" w:lineRule="auto"/>
              <w:rPr>
                <w:rFonts w:eastAsia="Times New Roman" w:cs="Calibri"/>
                <w:color w:val="000000"/>
                <w:sz w:val="22"/>
              </w:rPr>
            </w:pPr>
            <w:r w:rsidRPr="00CE4FBC">
              <w:rPr>
                <w:rFonts w:eastAsia="Times New Roman" w:cs="Calibri"/>
                <w:color w:val="000000"/>
                <w:sz w:val="22"/>
              </w:rPr>
              <w:t>TSSPDCL</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4127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8459</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11445</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14420</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17455</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19178</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19561</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19952</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20351</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20758</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21174</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572DAB" w:rsidRPr="00CE4FBC" w:rsidRDefault="00572DAB" w:rsidP="008B76BE">
            <w:pPr>
              <w:spacing w:after="0" w:line="240" w:lineRule="auto"/>
              <w:rPr>
                <w:rFonts w:eastAsia="Times New Roman" w:cs="Calibri"/>
                <w:color w:val="000000"/>
                <w:sz w:val="22"/>
              </w:rPr>
            </w:pPr>
            <w:r w:rsidRPr="00CE4FBC">
              <w:rPr>
                <w:rFonts w:eastAsia="Times New Roman" w:cs="Calibri"/>
                <w:color w:val="000000"/>
                <w:sz w:val="22"/>
              </w:rPr>
              <w:t>TSNPDCL</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8407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18804</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18804</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Pr>
                <w:rFonts w:cs="Calibri"/>
                <w:color w:val="000000"/>
                <w:sz w:val="22"/>
              </w:rPr>
              <w:t>21656</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Total</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12533</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27263</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30249</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36076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39111</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40834</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41217</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41608</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42007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42414</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Pr>
                <w:rFonts w:cs="Calibri"/>
                <w:b/>
                <w:bCs/>
                <w:color w:val="000000"/>
                <w:sz w:val="22"/>
              </w:rPr>
              <w:t>42830</w:t>
            </w:r>
          </w:p>
        </w:tc>
      </w:tr>
    </w:tbl>
    <w:p w:rsidR="00572DAB" w:rsidRDefault="00572DAB" w:rsidP="00572DAB">
      <w:pPr>
        <w:jc w:val="both"/>
      </w:pPr>
    </w:p>
    <w:p w:rsidR="00572DAB" w:rsidRDefault="00572DAB" w:rsidP="00572DAB">
      <w:pPr>
        <w:jc w:val="both"/>
      </w:pPr>
      <w:r>
        <w:t xml:space="preserve">Considering the above ambitious projections made by I&amp;CAD Department, </w:t>
      </w:r>
      <w:proofErr w:type="spellStart"/>
      <w:r>
        <w:t>Discoms</w:t>
      </w:r>
      <w:proofErr w:type="spellEnd"/>
      <w:r>
        <w:t xml:space="preserve"> have made their power procurement plans and accordingly have made PPAs with new generating stations and while entering into PPAs with new generating stations, PPAs with Renewable Energy stations especially from Solar stations have been entered considering that the price per unit is lower than the variable charges of thermal power generation stations so that it shall optimize the average cost of power purchase of the </w:t>
      </w:r>
      <w:proofErr w:type="spellStart"/>
      <w:r>
        <w:t>Discoms</w:t>
      </w:r>
      <w:proofErr w:type="spellEnd"/>
      <w:r>
        <w:t xml:space="preserve">. Further, as the power from Renewable power projects is not available throughout the day, in order to compensate the same PPAs with conventional sources have also been entered.  </w:t>
      </w:r>
    </w:p>
    <w:p w:rsidR="00572DAB" w:rsidRPr="00234E68" w:rsidRDefault="00572DAB" w:rsidP="00572DAB">
      <w:pPr>
        <w:jc w:val="both"/>
      </w:pPr>
      <w:r>
        <w:t xml:space="preserve">However, the actual sales recorded under this category were much lower than the projections </w:t>
      </w:r>
      <w:r w:rsidRPr="00234E68">
        <w:t>and the same are follows:</w:t>
      </w:r>
    </w:p>
    <w:p w:rsidR="00572DAB" w:rsidRPr="00234E68" w:rsidRDefault="00572DAB" w:rsidP="00572DAB">
      <w:pPr>
        <w:pStyle w:val="Caption"/>
      </w:pPr>
      <w:r w:rsidRPr="00234E68">
        <w:t xml:space="preserve">Table </w:t>
      </w:r>
      <w:r w:rsidR="008737D4">
        <w:fldChar w:fldCharType="begin"/>
      </w:r>
      <w:r>
        <w:instrText xml:space="preserve"> SEQ Table \* ARABIC </w:instrText>
      </w:r>
      <w:r w:rsidR="008737D4">
        <w:fldChar w:fldCharType="separate"/>
      </w:r>
      <w:r w:rsidR="00D41256">
        <w:rPr>
          <w:noProof/>
        </w:rPr>
        <w:t>3</w:t>
      </w:r>
      <w:r w:rsidR="008737D4">
        <w:rPr>
          <w:noProof/>
        </w:rPr>
        <w:fldChar w:fldCharType="end"/>
      </w:r>
      <w:r w:rsidRPr="00234E68">
        <w:t xml:space="preserve"> Actual Sales recorded against Lift Irrigation Schemes in 4</w:t>
      </w:r>
      <w:r w:rsidRPr="00234E68">
        <w:rPr>
          <w:vertAlign w:val="superscript"/>
        </w:rPr>
        <w:t>th</w:t>
      </w:r>
      <w:r w:rsidRPr="00234E68">
        <w:t xml:space="preserve"> Control Period till FY 2022-23</w:t>
      </w:r>
    </w:p>
    <w:tbl>
      <w:tblPr>
        <w:tblW w:w="7352" w:type="dxa"/>
        <w:jc w:val="center"/>
        <w:tblLayout w:type="fixed"/>
        <w:tblLook w:val="04A0"/>
      </w:tblPr>
      <w:tblGrid>
        <w:gridCol w:w="1975"/>
        <w:gridCol w:w="1344"/>
        <w:gridCol w:w="1344"/>
        <w:gridCol w:w="1344"/>
        <w:gridCol w:w="1345"/>
      </w:tblGrid>
      <w:tr w:rsidR="00572DAB" w:rsidRPr="00234E68" w:rsidTr="008B76BE">
        <w:trPr>
          <w:trHeight w:val="290"/>
          <w:tblHeader/>
          <w:jc w:val="center"/>
        </w:trPr>
        <w:tc>
          <w:tcPr>
            <w:tcW w:w="1975"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rsidR="00572DAB" w:rsidRPr="00234E68" w:rsidRDefault="00572DAB" w:rsidP="008B76BE">
            <w:pPr>
              <w:spacing w:after="0" w:line="240" w:lineRule="auto"/>
              <w:jc w:val="center"/>
              <w:rPr>
                <w:rFonts w:eastAsia="Times New Roman" w:cs="Calibri"/>
                <w:b/>
                <w:bCs/>
                <w:sz w:val="22"/>
              </w:rPr>
            </w:pPr>
            <w:r w:rsidRPr="00234E68">
              <w:rPr>
                <w:rFonts w:eastAsia="Times New Roman" w:cs="Calibri"/>
                <w:b/>
                <w:bCs/>
                <w:sz w:val="22"/>
              </w:rPr>
              <w:t>Particulars</w:t>
            </w:r>
          </w:p>
        </w:tc>
        <w:tc>
          <w:tcPr>
            <w:tcW w:w="1344"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234E68" w:rsidRDefault="00572DAB" w:rsidP="008B76BE">
            <w:pPr>
              <w:spacing w:after="0" w:line="240" w:lineRule="auto"/>
              <w:jc w:val="center"/>
              <w:rPr>
                <w:rFonts w:eastAsia="Times New Roman" w:cs="Calibri"/>
                <w:b/>
                <w:bCs/>
                <w:sz w:val="22"/>
              </w:rPr>
            </w:pPr>
            <w:r w:rsidRPr="00234E68">
              <w:rPr>
                <w:rFonts w:eastAsia="Times New Roman" w:cs="Calibri"/>
                <w:b/>
                <w:bCs/>
                <w:sz w:val="22"/>
              </w:rPr>
              <w:t>2019-20</w:t>
            </w:r>
          </w:p>
        </w:tc>
        <w:tc>
          <w:tcPr>
            <w:tcW w:w="1344"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234E68" w:rsidRDefault="00572DAB" w:rsidP="008B76BE">
            <w:pPr>
              <w:spacing w:after="0" w:line="240" w:lineRule="auto"/>
              <w:jc w:val="center"/>
              <w:rPr>
                <w:rFonts w:eastAsia="Times New Roman" w:cs="Calibri"/>
                <w:b/>
                <w:bCs/>
                <w:sz w:val="22"/>
              </w:rPr>
            </w:pPr>
            <w:r w:rsidRPr="00234E68">
              <w:rPr>
                <w:rFonts w:eastAsia="Times New Roman" w:cs="Calibri"/>
                <w:b/>
                <w:bCs/>
                <w:sz w:val="22"/>
              </w:rPr>
              <w:t>2020-21</w:t>
            </w:r>
          </w:p>
        </w:tc>
        <w:tc>
          <w:tcPr>
            <w:tcW w:w="1344"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234E68" w:rsidRDefault="00572DAB" w:rsidP="008B76BE">
            <w:pPr>
              <w:spacing w:after="0" w:line="240" w:lineRule="auto"/>
              <w:jc w:val="center"/>
              <w:rPr>
                <w:rFonts w:eastAsia="Times New Roman" w:cs="Calibri"/>
                <w:b/>
                <w:bCs/>
                <w:sz w:val="22"/>
              </w:rPr>
            </w:pPr>
            <w:r w:rsidRPr="00234E68">
              <w:rPr>
                <w:rFonts w:eastAsia="Times New Roman" w:cs="Calibri"/>
                <w:b/>
                <w:bCs/>
                <w:sz w:val="22"/>
              </w:rPr>
              <w:t>2021-22</w:t>
            </w:r>
          </w:p>
        </w:tc>
        <w:tc>
          <w:tcPr>
            <w:tcW w:w="1345"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234E68" w:rsidRDefault="00572DAB" w:rsidP="008B76BE">
            <w:pPr>
              <w:spacing w:after="0" w:line="240" w:lineRule="auto"/>
              <w:jc w:val="center"/>
              <w:rPr>
                <w:rFonts w:eastAsia="Times New Roman" w:cs="Calibri"/>
                <w:b/>
                <w:bCs/>
                <w:sz w:val="22"/>
              </w:rPr>
            </w:pPr>
            <w:r w:rsidRPr="00234E68">
              <w:rPr>
                <w:rFonts w:eastAsia="Times New Roman" w:cs="Calibri"/>
                <w:b/>
                <w:bCs/>
                <w:sz w:val="22"/>
              </w:rPr>
              <w:t>2022-23</w:t>
            </w:r>
          </w:p>
        </w:tc>
      </w:tr>
      <w:tr w:rsidR="00572DAB" w:rsidRPr="00234E68" w:rsidTr="008B76BE">
        <w:trPr>
          <w:trHeight w:val="290"/>
          <w:jc w:val="center"/>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572DAB" w:rsidRPr="00234E68" w:rsidRDefault="00572DAB" w:rsidP="008B76BE">
            <w:pPr>
              <w:spacing w:after="0" w:line="240" w:lineRule="auto"/>
              <w:rPr>
                <w:rFonts w:eastAsia="Times New Roman" w:cs="Calibri"/>
                <w:color w:val="000000"/>
                <w:sz w:val="22"/>
              </w:rPr>
            </w:pPr>
            <w:r w:rsidRPr="00234E68">
              <w:rPr>
                <w:rFonts w:eastAsia="Times New Roman" w:cs="Calibri"/>
                <w:color w:val="000000"/>
                <w:sz w:val="22"/>
              </w:rPr>
              <w:t>TSSPDCL</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1862</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1561</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1878</w:t>
            </w:r>
          </w:p>
        </w:tc>
        <w:tc>
          <w:tcPr>
            <w:tcW w:w="1345"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1642</w:t>
            </w:r>
          </w:p>
        </w:tc>
      </w:tr>
      <w:tr w:rsidR="00572DAB" w:rsidRPr="00234E68" w:rsidTr="008B76BE">
        <w:trPr>
          <w:trHeight w:val="290"/>
          <w:jc w:val="center"/>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572DAB" w:rsidRPr="00234E68" w:rsidRDefault="00572DAB" w:rsidP="008B76BE">
            <w:pPr>
              <w:spacing w:after="0" w:line="240" w:lineRule="auto"/>
              <w:rPr>
                <w:rFonts w:eastAsia="Times New Roman" w:cs="Calibri"/>
                <w:color w:val="000000"/>
                <w:sz w:val="22"/>
              </w:rPr>
            </w:pPr>
            <w:r w:rsidRPr="00234E68">
              <w:rPr>
                <w:rFonts w:eastAsia="Times New Roman" w:cs="Calibri"/>
                <w:color w:val="000000"/>
                <w:sz w:val="22"/>
              </w:rPr>
              <w:t>TSNPDCL</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2601</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1892</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1793</w:t>
            </w:r>
          </w:p>
        </w:tc>
        <w:tc>
          <w:tcPr>
            <w:tcW w:w="1345"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color w:val="000000"/>
                <w:sz w:val="22"/>
              </w:rPr>
            </w:pPr>
            <w:r w:rsidRPr="00234E68">
              <w:rPr>
                <w:rFonts w:eastAsia="Times New Roman" w:cs="Calibri"/>
                <w:color w:val="000000"/>
                <w:sz w:val="22"/>
              </w:rPr>
              <w:t>1490</w:t>
            </w:r>
          </w:p>
        </w:tc>
      </w:tr>
      <w:tr w:rsidR="00572DAB" w:rsidRPr="00235BF0" w:rsidTr="008B76BE">
        <w:trPr>
          <w:trHeight w:val="290"/>
          <w:jc w:val="center"/>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b/>
                <w:bCs/>
                <w:color w:val="000000"/>
                <w:sz w:val="22"/>
              </w:rPr>
            </w:pPr>
            <w:r w:rsidRPr="00234E68">
              <w:rPr>
                <w:rFonts w:eastAsia="Times New Roman" w:cs="Calibri"/>
                <w:b/>
                <w:bCs/>
                <w:color w:val="000000"/>
                <w:sz w:val="22"/>
              </w:rPr>
              <w:t>Total</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b/>
                <w:bCs/>
                <w:color w:val="000000"/>
                <w:sz w:val="22"/>
              </w:rPr>
            </w:pPr>
            <w:r w:rsidRPr="00234E68">
              <w:rPr>
                <w:rFonts w:eastAsia="Times New Roman" w:cs="Calibri"/>
                <w:b/>
                <w:bCs/>
                <w:color w:val="000000"/>
                <w:sz w:val="22"/>
              </w:rPr>
              <w:t>4463</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b/>
                <w:bCs/>
                <w:color w:val="000000"/>
                <w:sz w:val="22"/>
              </w:rPr>
            </w:pPr>
            <w:r w:rsidRPr="00234E68">
              <w:rPr>
                <w:rFonts w:eastAsia="Times New Roman" w:cs="Calibri"/>
                <w:b/>
                <w:bCs/>
                <w:color w:val="000000"/>
                <w:sz w:val="22"/>
              </w:rPr>
              <w:t>3453</w:t>
            </w:r>
          </w:p>
        </w:tc>
        <w:tc>
          <w:tcPr>
            <w:tcW w:w="1344" w:type="dxa"/>
            <w:tcBorders>
              <w:top w:val="nil"/>
              <w:left w:val="nil"/>
              <w:bottom w:val="single" w:sz="4" w:space="0" w:color="auto"/>
              <w:right w:val="single" w:sz="4" w:space="0" w:color="auto"/>
            </w:tcBorders>
            <w:shd w:val="clear" w:color="auto" w:fill="auto"/>
            <w:noWrap/>
            <w:vAlign w:val="center"/>
            <w:hideMark/>
          </w:tcPr>
          <w:p w:rsidR="00572DAB" w:rsidRPr="00234E68" w:rsidRDefault="00572DAB" w:rsidP="008B76BE">
            <w:pPr>
              <w:spacing w:after="0" w:line="240" w:lineRule="auto"/>
              <w:jc w:val="center"/>
              <w:rPr>
                <w:rFonts w:eastAsia="Times New Roman" w:cs="Calibri"/>
                <w:b/>
                <w:bCs/>
                <w:color w:val="000000"/>
                <w:sz w:val="22"/>
              </w:rPr>
            </w:pPr>
            <w:r w:rsidRPr="00234E68">
              <w:rPr>
                <w:rFonts w:eastAsia="Times New Roman" w:cs="Calibri"/>
                <w:b/>
                <w:bCs/>
                <w:color w:val="000000"/>
                <w:sz w:val="22"/>
              </w:rPr>
              <w:t>3670</w:t>
            </w:r>
          </w:p>
        </w:tc>
        <w:tc>
          <w:tcPr>
            <w:tcW w:w="1345" w:type="dxa"/>
            <w:tcBorders>
              <w:top w:val="nil"/>
              <w:left w:val="nil"/>
              <w:bottom w:val="single" w:sz="4" w:space="0" w:color="auto"/>
              <w:right w:val="single" w:sz="4" w:space="0" w:color="auto"/>
            </w:tcBorders>
            <w:shd w:val="clear" w:color="auto" w:fill="auto"/>
            <w:noWrap/>
            <w:vAlign w:val="center"/>
            <w:hideMark/>
          </w:tcPr>
          <w:p w:rsidR="00572DAB" w:rsidRPr="00235BF0" w:rsidRDefault="00572DAB" w:rsidP="008B76BE">
            <w:pPr>
              <w:spacing w:after="0" w:line="240" w:lineRule="auto"/>
              <w:jc w:val="center"/>
              <w:rPr>
                <w:rFonts w:eastAsia="Times New Roman" w:cs="Calibri"/>
                <w:b/>
                <w:bCs/>
                <w:color w:val="000000"/>
                <w:sz w:val="22"/>
              </w:rPr>
            </w:pPr>
            <w:r w:rsidRPr="00234E68">
              <w:rPr>
                <w:rFonts w:eastAsia="Times New Roman" w:cs="Calibri"/>
                <w:b/>
                <w:bCs/>
                <w:color w:val="000000"/>
                <w:sz w:val="22"/>
              </w:rPr>
              <w:t>3132</w:t>
            </w:r>
          </w:p>
        </w:tc>
      </w:tr>
    </w:tbl>
    <w:p w:rsidR="00572DAB" w:rsidRDefault="00572DAB" w:rsidP="00572DAB">
      <w:pPr>
        <w:jc w:val="both"/>
      </w:pPr>
    </w:p>
    <w:p w:rsidR="00572DAB" w:rsidRDefault="00572DAB" w:rsidP="00572DAB">
      <w:pPr>
        <w:jc w:val="both"/>
      </w:pPr>
      <w:r>
        <w:t xml:space="preserve">Considering the lower actual sales recorded, the </w:t>
      </w:r>
      <w:proofErr w:type="spellStart"/>
      <w:r>
        <w:t>Discoms</w:t>
      </w:r>
      <w:proofErr w:type="spellEnd"/>
      <w:r>
        <w:t xml:space="preserve"> in the current Resource Plan filings have sought for the realistic projections from I&amp;CAD, however, there has been a delay in receipt of the projected sales from I&amp;CAD department. In view of the delay in receipt of the information, the </w:t>
      </w:r>
      <w:proofErr w:type="spellStart"/>
      <w:r>
        <w:t>Discoms</w:t>
      </w:r>
      <w:proofErr w:type="spellEnd"/>
      <w:r>
        <w:t xml:space="preserve"> have projected the sales against the lift irrigation schemes </w:t>
      </w:r>
      <w:proofErr w:type="gramStart"/>
      <w:r w:rsidRPr="00E575F0">
        <w:t>considering</w:t>
      </w:r>
      <w:proofErr w:type="gramEnd"/>
      <w:r w:rsidRPr="00E575F0">
        <w:t xml:space="preserve"> </w:t>
      </w:r>
      <w:r>
        <w:t xml:space="preserve">a </w:t>
      </w:r>
      <w:r w:rsidRPr="00E575F0">
        <w:t xml:space="preserve">growth rate of 10% based on the </w:t>
      </w:r>
      <w:r>
        <w:t xml:space="preserve">historical </w:t>
      </w:r>
      <w:r w:rsidRPr="00E575F0">
        <w:t>actual sales (TSSPDCL considered the base sales as recorded in FY 2021-22 and TSNPDCL considered the base sales as recorded in FY 2020-21)</w:t>
      </w:r>
      <w:r>
        <w:t xml:space="preserve">. The </w:t>
      </w:r>
      <w:proofErr w:type="gramStart"/>
      <w:r>
        <w:t>quantum of sales considered in the current Resource Plan filings are</w:t>
      </w:r>
      <w:proofErr w:type="gramEnd"/>
      <w:r>
        <w:t xml:space="preserve"> as follows:</w:t>
      </w:r>
    </w:p>
    <w:p w:rsidR="00572DAB" w:rsidRDefault="00572DAB" w:rsidP="00572DAB">
      <w:pPr>
        <w:pStyle w:val="Caption"/>
      </w:pPr>
      <w:r>
        <w:t xml:space="preserve">Table </w:t>
      </w:r>
      <w:r w:rsidR="008737D4">
        <w:fldChar w:fldCharType="begin"/>
      </w:r>
      <w:r>
        <w:instrText xml:space="preserve"> SEQ Table \* ARABIC </w:instrText>
      </w:r>
      <w:r w:rsidR="008737D4">
        <w:fldChar w:fldCharType="separate"/>
      </w:r>
      <w:r w:rsidR="00D41256">
        <w:rPr>
          <w:noProof/>
        </w:rPr>
        <w:t>4</w:t>
      </w:r>
      <w:r w:rsidR="008737D4">
        <w:rPr>
          <w:noProof/>
        </w:rPr>
        <w:fldChar w:fldCharType="end"/>
      </w:r>
      <w:r>
        <w:t xml:space="preserve"> Sales of Lift Irrigation schemes considered in current Resource Plan filings (MU)</w:t>
      </w:r>
    </w:p>
    <w:tbl>
      <w:tblPr>
        <w:tblW w:w="10890" w:type="dxa"/>
        <w:tblInd w:w="-545" w:type="dxa"/>
        <w:tblLayout w:type="fixed"/>
        <w:tblLook w:val="04A0"/>
      </w:tblPr>
      <w:tblGrid>
        <w:gridCol w:w="1345"/>
        <w:gridCol w:w="867"/>
        <w:gridCol w:w="868"/>
        <w:gridCol w:w="868"/>
        <w:gridCol w:w="867"/>
        <w:gridCol w:w="868"/>
        <w:gridCol w:w="868"/>
        <w:gridCol w:w="868"/>
        <w:gridCol w:w="867"/>
        <w:gridCol w:w="868"/>
        <w:gridCol w:w="868"/>
        <w:gridCol w:w="868"/>
      </w:tblGrid>
      <w:tr w:rsidR="00572DAB" w:rsidRPr="00CE4FBC" w:rsidTr="008B76BE">
        <w:trPr>
          <w:trHeight w:val="255"/>
        </w:trPr>
        <w:tc>
          <w:tcPr>
            <w:tcW w:w="1345"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Particulars</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2023-24</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2024-25</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2025-26</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2026-27</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2027-28</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2028-29</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2029-30</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2030-31</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2031-32</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2032-33</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2033-34</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572DAB" w:rsidRPr="00CE4FBC" w:rsidRDefault="00572DAB" w:rsidP="008B76BE">
            <w:pPr>
              <w:spacing w:after="0" w:line="240" w:lineRule="auto"/>
              <w:rPr>
                <w:rFonts w:eastAsia="Times New Roman" w:cs="Calibri"/>
                <w:color w:val="000000"/>
                <w:sz w:val="22"/>
              </w:rPr>
            </w:pPr>
            <w:r w:rsidRPr="00CE4FBC">
              <w:rPr>
                <w:rFonts w:eastAsia="Times New Roman" w:cs="Calibri"/>
                <w:color w:val="000000"/>
                <w:sz w:val="22"/>
              </w:rPr>
              <w:t>TSSPDCL</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2015</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2217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2439</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2682</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2951</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3246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3570</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3927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4320</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4752</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5227</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572DAB" w:rsidRPr="00CE4FBC" w:rsidRDefault="00572DAB" w:rsidP="008B76BE">
            <w:pPr>
              <w:spacing w:after="0" w:line="240" w:lineRule="auto"/>
              <w:rPr>
                <w:rFonts w:eastAsia="Times New Roman" w:cs="Calibri"/>
                <w:color w:val="000000"/>
                <w:sz w:val="22"/>
              </w:rPr>
            </w:pPr>
            <w:r w:rsidRPr="00CE4FBC">
              <w:rPr>
                <w:rFonts w:eastAsia="Times New Roman" w:cs="Calibri"/>
                <w:color w:val="000000"/>
                <w:sz w:val="22"/>
              </w:rPr>
              <w:t>TSNPDCL</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2169</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2386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2625</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2887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3176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3493</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3843</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4227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4650</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5115</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color w:val="000000"/>
                <w:sz w:val="22"/>
              </w:rPr>
            </w:pPr>
            <w:r w:rsidRPr="00CE4FBC">
              <w:rPr>
                <w:rFonts w:eastAsia="Times New Roman" w:cs="Calibri"/>
                <w:color w:val="000000"/>
                <w:sz w:val="22"/>
              </w:rPr>
              <w:t>5626</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Total</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4184</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4603</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5063</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5570</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6126</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6739</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7413</w:t>
            </w:r>
          </w:p>
        </w:tc>
        <w:tc>
          <w:tcPr>
            <w:tcW w:w="867"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8154</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8970</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9867</w:t>
            </w:r>
          </w:p>
        </w:tc>
        <w:tc>
          <w:tcPr>
            <w:tcW w:w="868" w:type="dxa"/>
            <w:tcBorders>
              <w:top w:val="nil"/>
              <w:left w:val="nil"/>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10853</w:t>
            </w:r>
          </w:p>
        </w:tc>
      </w:tr>
    </w:tbl>
    <w:p w:rsidR="00572DAB" w:rsidRDefault="00572DAB" w:rsidP="00572DAB">
      <w:pPr>
        <w:jc w:val="both"/>
      </w:pPr>
      <w:r>
        <w:t xml:space="preserve"> </w:t>
      </w:r>
    </w:p>
    <w:p w:rsidR="00572DAB" w:rsidRDefault="00572DAB" w:rsidP="00572DAB">
      <w:pPr>
        <w:jc w:val="both"/>
      </w:pPr>
      <w:r>
        <w:lastRenderedPageBreak/>
        <w:t xml:space="preserve">Subsequently, TS </w:t>
      </w:r>
      <w:proofErr w:type="spellStart"/>
      <w:r>
        <w:t>Discoms</w:t>
      </w:r>
      <w:proofErr w:type="spellEnd"/>
      <w:r>
        <w:t xml:space="preserve"> have received the projected sales from I&amp;CAD for the Lift Irrigation Schemes which are operational as on date and are expected to be commissioned in the 5</w:t>
      </w:r>
      <w:r w:rsidRPr="0006244B">
        <w:rPr>
          <w:vertAlign w:val="superscript"/>
        </w:rPr>
        <w:t>th</w:t>
      </w:r>
      <w:r>
        <w:t xml:space="preserve"> Control Period. </w:t>
      </w:r>
    </w:p>
    <w:p w:rsidR="00572DAB" w:rsidRDefault="00572DAB" w:rsidP="00572DAB">
      <w:pPr>
        <w:jc w:val="both"/>
      </w:pPr>
      <w:r>
        <w:t>The quantum of sales receiv</w:t>
      </w:r>
      <w:r w:rsidRPr="0006244B">
        <w:t xml:space="preserve">ed </w:t>
      </w:r>
      <w:r>
        <w:t>from I&amp;CAD for the 5</w:t>
      </w:r>
      <w:r w:rsidRPr="0006244B">
        <w:rPr>
          <w:vertAlign w:val="superscript"/>
        </w:rPr>
        <w:t>th</w:t>
      </w:r>
      <w:r>
        <w:t xml:space="preserve"> and 6</w:t>
      </w:r>
      <w:r w:rsidRPr="0006244B">
        <w:rPr>
          <w:vertAlign w:val="superscript"/>
        </w:rPr>
        <w:t>th</w:t>
      </w:r>
      <w:r>
        <w:t xml:space="preserve"> Control Period </w:t>
      </w:r>
      <w:r w:rsidRPr="0006244B">
        <w:t>are as follows</w:t>
      </w:r>
      <w:r>
        <w:t>:</w:t>
      </w:r>
    </w:p>
    <w:p w:rsidR="00572DAB" w:rsidRDefault="00572DAB" w:rsidP="00572DAB">
      <w:pPr>
        <w:pStyle w:val="Caption"/>
      </w:pPr>
      <w:r>
        <w:t xml:space="preserve">Table </w:t>
      </w:r>
      <w:r w:rsidR="008737D4">
        <w:fldChar w:fldCharType="begin"/>
      </w:r>
      <w:r>
        <w:instrText xml:space="preserve"> SEQ Table \* ARABIC </w:instrText>
      </w:r>
      <w:r w:rsidR="008737D4">
        <w:fldChar w:fldCharType="separate"/>
      </w:r>
      <w:r w:rsidR="00D41256">
        <w:rPr>
          <w:noProof/>
        </w:rPr>
        <w:t>5</w:t>
      </w:r>
      <w:r w:rsidR="008737D4">
        <w:rPr>
          <w:noProof/>
        </w:rPr>
        <w:fldChar w:fldCharType="end"/>
      </w:r>
      <w:r>
        <w:t xml:space="preserve"> Sales of Lift Irrigation schemes as submitted by </w:t>
      </w:r>
      <w:proofErr w:type="gramStart"/>
      <w:r>
        <w:t>I&amp;CAD</w:t>
      </w:r>
      <w:proofErr w:type="gramEnd"/>
      <w:r>
        <w:t xml:space="preserve"> for 5</w:t>
      </w:r>
      <w:r w:rsidRPr="006F581D">
        <w:rPr>
          <w:vertAlign w:val="superscript"/>
        </w:rPr>
        <w:t>th</w:t>
      </w:r>
      <w:r>
        <w:t xml:space="preserve"> and 6</w:t>
      </w:r>
      <w:r w:rsidRPr="006F581D">
        <w:rPr>
          <w:vertAlign w:val="superscript"/>
        </w:rPr>
        <w:t>th</w:t>
      </w:r>
      <w:r>
        <w:t xml:space="preserve"> CP (MU)</w:t>
      </w:r>
    </w:p>
    <w:tbl>
      <w:tblPr>
        <w:tblW w:w="10890" w:type="dxa"/>
        <w:tblInd w:w="-545" w:type="dxa"/>
        <w:tblLayout w:type="fixed"/>
        <w:tblLook w:val="04A0"/>
      </w:tblPr>
      <w:tblGrid>
        <w:gridCol w:w="1345"/>
        <w:gridCol w:w="867"/>
        <w:gridCol w:w="868"/>
        <w:gridCol w:w="868"/>
        <w:gridCol w:w="867"/>
        <w:gridCol w:w="868"/>
        <w:gridCol w:w="868"/>
        <w:gridCol w:w="868"/>
        <w:gridCol w:w="867"/>
        <w:gridCol w:w="868"/>
        <w:gridCol w:w="868"/>
        <w:gridCol w:w="868"/>
      </w:tblGrid>
      <w:tr w:rsidR="00572DAB" w:rsidRPr="00CE4FBC" w:rsidTr="008B76BE">
        <w:trPr>
          <w:trHeight w:val="255"/>
          <w:tblHeader/>
        </w:trPr>
        <w:tc>
          <w:tcPr>
            <w:tcW w:w="1345" w:type="dxa"/>
            <w:tcBorders>
              <w:top w:val="single" w:sz="4" w:space="0" w:color="auto"/>
              <w:left w:val="single" w:sz="4" w:space="0" w:color="auto"/>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Particulars</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2023-24</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2024-25</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2025-26</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2026-27</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2027-28</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2028-29</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2029-30</w:t>
            </w:r>
          </w:p>
        </w:tc>
        <w:tc>
          <w:tcPr>
            <w:tcW w:w="867"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2030-31</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2031-32</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2032-33</w:t>
            </w:r>
          </w:p>
        </w:tc>
        <w:tc>
          <w:tcPr>
            <w:tcW w:w="868" w:type="dxa"/>
            <w:tcBorders>
              <w:top w:val="single" w:sz="4" w:space="0" w:color="auto"/>
              <w:left w:val="nil"/>
              <w:bottom w:val="single" w:sz="4" w:space="0" w:color="auto"/>
              <w:right w:val="single" w:sz="4" w:space="0" w:color="auto"/>
            </w:tcBorders>
            <w:shd w:val="clear" w:color="auto" w:fill="FFD966" w:themeFill="accent4" w:themeFillTint="99"/>
            <w:noWrap/>
            <w:vAlign w:val="center"/>
            <w:hideMark/>
          </w:tcPr>
          <w:p w:rsidR="00572DAB" w:rsidRPr="00CE4FBC" w:rsidRDefault="00572DAB" w:rsidP="008B76BE">
            <w:pPr>
              <w:spacing w:after="0" w:line="240" w:lineRule="auto"/>
              <w:jc w:val="center"/>
              <w:rPr>
                <w:rFonts w:eastAsia="Times New Roman" w:cs="Calibri"/>
                <w:b/>
                <w:bCs/>
                <w:sz w:val="22"/>
              </w:rPr>
            </w:pPr>
            <w:r w:rsidRPr="00CE4FBC">
              <w:rPr>
                <w:rFonts w:eastAsia="Times New Roman" w:cs="Calibri"/>
                <w:b/>
                <w:bCs/>
                <w:sz w:val="22"/>
              </w:rPr>
              <w:t>2033-34</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572DAB" w:rsidRPr="006F581D" w:rsidRDefault="00572DAB" w:rsidP="008B76BE">
            <w:pPr>
              <w:spacing w:after="0" w:line="240" w:lineRule="auto"/>
              <w:rPr>
                <w:rFonts w:eastAsia="Times New Roman" w:cs="Calibri"/>
                <w:b/>
                <w:bCs/>
                <w:color w:val="000000"/>
                <w:sz w:val="22"/>
              </w:rPr>
            </w:pPr>
            <w:r w:rsidRPr="006F581D">
              <w:rPr>
                <w:rFonts w:eastAsia="Times New Roman" w:cs="Calibri"/>
                <w:b/>
                <w:bCs/>
                <w:color w:val="000000"/>
                <w:sz w:val="22"/>
              </w:rPr>
              <w:t>TSSPDCL</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4869</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rsidR="00572DAB" w:rsidRPr="00CE4FBC" w:rsidRDefault="00572DAB" w:rsidP="008B76BE">
            <w:pPr>
              <w:spacing w:after="0" w:line="240" w:lineRule="auto"/>
              <w:rPr>
                <w:rFonts w:eastAsia="Times New Roman" w:cs="Calibri"/>
                <w:color w:val="000000"/>
                <w:sz w:val="22"/>
              </w:rPr>
            </w:pPr>
            <w:proofErr w:type="spellStart"/>
            <w:r>
              <w:rPr>
                <w:rFonts w:cs="Calibri"/>
                <w:i/>
                <w:iCs/>
                <w:color w:val="000000"/>
                <w:sz w:val="22"/>
              </w:rPr>
              <w:t>Inservice</w:t>
            </w:r>
            <w:proofErr w:type="spellEnd"/>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1989</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rsidR="00572DAB" w:rsidRPr="00CE4FBC" w:rsidRDefault="00572DAB" w:rsidP="008B76BE">
            <w:pPr>
              <w:spacing w:after="0" w:line="240" w:lineRule="auto"/>
              <w:rPr>
                <w:rFonts w:eastAsia="Times New Roman" w:cs="Calibri"/>
                <w:color w:val="000000"/>
                <w:sz w:val="22"/>
              </w:rPr>
            </w:pPr>
            <w:r>
              <w:rPr>
                <w:rFonts w:cs="Calibri"/>
                <w:i/>
                <w:iCs/>
                <w:color w:val="000000"/>
                <w:sz w:val="22"/>
              </w:rPr>
              <w:t>Upcoming</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2881</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572DAB" w:rsidRPr="006F581D" w:rsidRDefault="00572DAB" w:rsidP="008B76BE">
            <w:pPr>
              <w:spacing w:after="0" w:line="240" w:lineRule="auto"/>
              <w:rPr>
                <w:rFonts w:eastAsia="Times New Roman" w:cs="Calibri"/>
                <w:b/>
                <w:bCs/>
                <w:color w:val="000000"/>
                <w:sz w:val="22"/>
              </w:rPr>
            </w:pPr>
            <w:r w:rsidRPr="006F581D">
              <w:rPr>
                <w:rFonts w:eastAsia="Times New Roman" w:cs="Calibri"/>
                <w:b/>
                <w:bCs/>
                <w:color w:val="000000"/>
                <w:sz w:val="22"/>
              </w:rPr>
              <w:t>TSNPDCL</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3868</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5185</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rsidR="00572DAB" w:rsidRPr="00CE4FBC" w:rsidRDefault="00572DAB" w:rsidP="008B76BE">
            <w:pPr>
              <w:spacing w:after="0" w:line="240" w:lineRule="auto"/>
              <w:rPr>
                <w:rFonts w:eastAsia="Times New Roman" w:cs="Calibri"/>
                <w:color w:val="000000"/>
                <w:sz w:val="22"/>
              </w:rPr>
            </w:pPr>
            <w:proofErr w:type="spellStart"/>
            <w:r>
              <w:rPr>
                <w:rFonts w:cs="Calibri"/>
                <w:i/>
                <w:iCs/>
                <w:color w:val="000000"/>
                <w:sz w:val="22"/>
              </w:rPr>
              <w:t>Inservice</w:t>
            </w:r>
            <w:proofErr w:type="spellEnd"/>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3278</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bottom"/>
          </w:tcPr>
          <w:p w:rsidR="00572DAB" w:rsidRPr="00CE4FBC" w:rsidRDefault="00572DAB" w:rsidP="008B76BE">
            <w:pPr>
              <w:spacing w:after="0" w:line="240" w:lineRule="auto"/>
              <w:rPr>
                <w:rFonts w:eastAsia="Times New Roman" w:cs="Calibri"/>
                <w:color w:val="000000"/>
                <w:sz w:val="22"/>
              </w:rPr>
            </w:pPr>
            <w:r>
              <w:rPr>
                <w:rFonts w:cs="Calibri"/>
                <w:i/>
                <w:iCs/>
                <w:color w:val="000000"/>
                <w:sz w:val="22"/>
              </w:rPr>
              <w:t>Upcoming</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590</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7"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c>
          <w:tcPr>
            <w:tcW w:w="868" w:type="dxa"/>
            <w:tcBorders>
              <w:top w:val="nil"/>
              <w:left w:val="nil"/>
              <w:bottom w:val="single" w:sz="4" w:space="0" w:color="auto"/>
              <w:right w:val="single" w:sz="4" w:space="0" w:color="auto"/>
            </w:tcBorders>
            <w:shd w:val="clear" w:color="auto" w:fill="auto"/>
            <w:noWrap/>
            <w:vAlign w:val="center"/>
          </w:tcPr>
          <w:p w:rsidR="00572DAB" w:rsidRPr="00CE4FBC" w:rsidRDefault="00572DAB" w:rsidP="008B76BE">
            <w:pPr>
              <w:spacing w:after="0" w:line="240" w:lineRule="auto"/>
              <w:jc w:val="center"/>
              <w:rPr>
                <w:rFonts w:eastAsia="Times New Roman" w:cs="Calibri"/>
                <w:color w:val="000000"/>
                <w:sz w:val="22"/>
              </w:rPr>
            </w:pPr>
            <w:r>
              <w:rPr>
                <w:rFonts w:cs="Calibri"/>
                <w:i/>
                <w:iCs/>
                <w:color w:val="000000"/>
                <w:sz w:val="22"/>
              </w:rPr>
              <w:t>1907</w:t>
            </w:r>
          </w:p>
        </w:tc>
      </w:tr>
      <w:tr w:rsidR="00572DAB" w:rsidRPr="00CE4FBC" w:rsidTr="008B76BE">
        <w:trPr>
          <w:trHeight w:val="255"/>
        </w:trPr>
        <w:tc>
          <w:tcPr>
            <w:tcW w:w="1345" w:type="dxa"/>
            <w:tcBorders>
              <w:top w:val="nil"/>
              <w:left w:val="single" w:sz="4" w:space="0" w:color="auto"/>
              <w:bottom w:val="single" w:sz="4" w:space="0" w:color="auto"/>
              <w:right w:val="single" w:sz="4" w:space="0" w:color="auto"/>
            </w:tcBorders>
            <w:shd w:val="clear" w:color="auto" w:fill="auto"/>
            <w:noWrap/>
            <w:vAlign w:val="center"/>
            <w:hideMark/>
          </w:tcPr>
          <w:p w:rsidR="00572DAB" w:rsidRPr="00CE4FBC" w:rsidRDefault="00572DAB" w:rsidP="008B76BE">
            <w:pPr>
              <w:spacing w:after="0" w:line="240" w:lineRule="auto"/>
              <w:jc w:val="center"/>
              <w:rPr>
                <w:rFonts w:eastAsia="Times New Roman" w:cs="Calibri"/>
                <w:b/>
                <w:bCs/>
                <w:color w:val="000000"/>
                <w:sz w:val="22"/>
              </w:rPr>
            </w:pPr>
            <w:r w:rsidRPr="00CE4FBC">
              <w:rPr>
                <w:rFonts w:eastAsia="Times New Roman" w:cs="Calibri"/>
                <w:b/>
                <w:bCs/>
                <w:color w:val="000000"/>
                <w:sz w:val="22"/>
              </w:rPr>
              <w:t>Total</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5857</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7"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c>
          <w:tcPr>
            <w:tcW w:w="868" w:type="dxa"/>
            <w:tcBorders>
              <w:top w:val="nil"/>
              <w:left w:val="nil"/>
              <w:bottom w:val="single" w:sz="4" w:space="0" w:color="auto"/>
              <w:right w:val="single" w:sz="4" w:space="0" w:color="auto"/>
            </w:tcBorders>
            <w:shd w:val="clear" w:color="auto" w:fill="auto"/>
            <w:noWrap/>
            <w:vAlign w:val="center"/>
          </w:tcPr>
          <w:p w:rsidR="00572DAB" w:rsidRPr="006F581D" w:rsidRDefault="00572DAB" w:rsidP="008B76BE">
            <w:pPr>
              <w:spacing w:after="0" w:line="240" w:lineRule="auto"/>
              <w:jc w:val="center"/>
              <w:rPr>
                <w:rFonts w:eastAsia="Times New Roman" w:cs="Calibri"/>
                <w:b/>
                <w:bCs/>
                <w:color w:val="000000"/>
                <w:sz w:val="22"/>
              </w:rPr>
            </w:pPr>
            <w:r w:rsidRPr="006F581D">
              <w:rPr>
                <w:rFonts w:cs="Calibri"/>
                <w:b/>
                <w:bCs/>
                <w:color w:val="000000"/>
                <w:sz w:val="22"/>
              </w:rPr>
              <w:t>10055</w:t>
            </w:r>
          </w:p>
        </w:tc>
      </w:tr>
    </w:tbl>
    <w:p w:rsidR="00572DAB" w:rsidRDefault="00572DAB" w:rsidP="00572DAB">
      <w:pPr>
        <w:jc w:val="both"/>
      </w:pPr>
    </w:p>
    <w:p w:rsidR="00572DAB" w:rsidRDefault="00572DAB" w:rsidP="00572DAB">
      <w:pPr>
        <w:jc w:val="both"/>
      </w:pPr>
      <w:r>
        <w:t xml:space="preserve">It is further to be noted that the sales from upcoming projects are expected to be realized considering the commissioning of </w:t>
      </w:r>
      <w:proofErr w:type="spellStart"/>
      <w:r>
        <w:t>Palamuru</w:t>
      </w:r>
      <w:proofErr w:type="spellEnd"/>
      <w:r>
        <w:t xml:space="preserve"> </w:t>
      </w:r>
      <w:proofErr w:type="spellStart"/>
      <w:r>
        <w:t>Ranga</w:t>
      </w:r>
      <w:proofErr w:type="spellEnd"/>
      <w:r>
        <w:t xml:space="preserve"> Reddy Lift Irrigation Scheme (8x145 MW Pumps) by the end of September 2023 (Source:</w:t>
      </w:r>
      <w:r w:rsidRPr="008B1D73">
        <w:t xml:space="preserve"> </w:t>
      </w:r>
      <w:hyperlink r:id="rId7" w:history="1">
        <w:r w:rsidRPr="007D1CA5">
          <w:rPr>
            <w:rStyle w:val="Hyperlink"/>
          </w:rPr>
          <w:t>https://www.thehindu.com/news/national/</w:t>
        </w:r>
      </w:hyperlink>
      <w:r>
        <w:t xml:space="preserve"> </w:t>
      </w:r>
      <w:r w:rsidRPr="008B1D73">
        <w:t>telangana/prlis-engineers-plan-to-commission-yellur-pump-house-by-month-end/article</w:t>
      </w:r>
      <w:r>
        <w:t xml:space="preserve"> </w:t>
      </w:r>
      <w:r w:rsidRPr="008B1D73">
        <w:t>67269626.ece</w:t>
      </w:r>
      <w:r>
        <w:t xml:space="preserve">) along with increased pace of construction of </w:t>
      </w:r>
      <w:proofErr w:type="spellStart"/>
      <w:r>
        <w:t>distributary</w:t>
      </w:r>
      <w:proofErr w:type="spellEnd"/>
      <w:r>
        <w:t xml:space="preserve"> canals which will increase the utilization of existing as well as upcoming lift irrigation projects.</w:t>
      </w:r>
    </w:p>
    <w:p w:rsidR="00572DAB" w:rsidRDefault="00572DAB" w:rsidP="00572DAB">
      <w:pPr>
        <w:jc w:val="both"/>
      </w:pPr>
      <w:r>
        <w:t>C</w:t>
      </w:r>
      <w:r w:rsidRPr="00E575F0">
        <w:t>onsidering the difference in approach</w:t>
      </w:r>
      <w:r>
        <w:t xml:space="preserve"> of projection by </w:t>
      </w:r>
      <w:proofErr w:type="gramStart"/>
      <w:r>
        <w:t>I&amp;CAD</w:t>
      </w:r>
      <w:proofErr w:type="gramEnd"/>
      <w:r>
        <w:t xml:space="preserve"> for 5</w:t>
      </w:r>
      <w:r w:rsidRPr="003218FF">
        <w:rPr>
          <w:vertAlign w:val="superscript"/>
        </w:rPr>
        <w:t>th</w:t>
      </w:r>
      <w:r>
        <w:t xml:space="preserve"> and 6</w:t>
      </w:r>
      <w:r w:rsidRPr="003218FF">
        <w:rPr>
          <w:vertAlign w:val="superscript"/>
        </w:rPr>
        <w:t>th</w:t>
      </w:r>
      <w:r>
        <w:t xml:space="preserve"> Control Periods</w:t>
      </w:r>
      <w:r w:rsidRPr="00E575F0">
        <w:t>, it is expected that there shall be not much variation between the projected and actual sales</w:t>
      </w:r>
      <w:r>
        <w:t xml:space="preserve"> in the 5</w:t>
      </w:r>
      <w:r w:rsidRPr="008B3434">
        <w:rPr>
          <w:vertAlign w:val="superscript"/>
        </w:rPr>
        <w:t>th</w:t>
      </w:r>
      <w:r>
        <w:t xml:space="preserve"> and 6</w:t>
      </w:r>
      <w:r w:rsidRPr="008B3434">
        <w:rPr>
          <w:vertAlign w:val="superscript"/>
        </w:rPr>
        <w:t>th</w:t>
      </w:r>
      <w:r>
        <w:t xml:space="preserve"> Control Periods.</w:t>
      </w:r>
    </w:p>
    <w:p w:rsidR="00572DAB" w:rsidRDefault="00572DAB" w:rsidP="00572DAB">
      <w:pPr>
        <w:jc w:val="both"/>
      </w:pPr>
      <w:r>
        <w:t xml:space="preserve">The revised energy balance of TS </w:t>
      </w:r>
      <w:proofErr w:type="spellStart"/>
      <w:r>
        <w:t>Discoms</w:t>
      </w:r>
      <w:proofErr w:type="spellEnd"/>
      <w:r>
        <w:t xml:space="preserve"> by revising the energy requirement by considering the sales projections received from I&amp;CAD for 5</w:t>
      </w:r>
      <w:r w:rsidRPr="008B1D73">
        <w:rPr>
          <w:vertAlign w:val="superscript"/>
        </w:rPr>
        <w:t>th</w:t>
      </w:r>
      <w:r>
        <w:t xml:space="preserve"> and 6</w:t>
      </w:r>
      <w:r w:rsidRPr="008B1D73">
        <w:rPr>
          <w:vertAlign w:val="superscript"/>
        </w:rPr>
        <w:t>th</w:t>
      </w:r>
      <w:r>
        <w:t xml:space="preserve"> Control Period with the availability as submitted in Resource Plan for 5</w:t>
      </w:r>
      <w:r w:rsidRPr="009B104F">
        <w:rPr>
          <w:vertAlign w:val="superscript"/>
        </w:rPr>
        <w:t>th</w:t>
      </w:r>
      <w:r>
        <w:t xml:space="preserve"> and 6</w:t>
      </w:r>
      <w:r w:rsidRPr="009B104F">
        <w:rPr>
          <w:vertAlign w:val="superscript"/>
        </w:rPr>
        <w:t>th</w:t>
      </w:r>
      <w:r>
        <w:t xml:space="preserve"> Control period is as follows:</w:t>
      </w:r>
    </w:p>
    <w:p w:rsidR="00572DAB" w:rsidRDefault="00572DAB" w:rsidP="00572DAB">
      <w:pPr>
        <w:pStyle w:val="Caption"/>
      </w:pPr>
      <w:r>
        <w:t xml:space="preserve">Table </w:t>
      </w:r>
      <w:r w:rsidR="008737D4">
        <w:fldChar w:fldCharType="begin"/>
      </w:r>
      <w:r>
        <w:instrText xml:space="preserve"> SEQ Table \* ARABIC </w:instrText>
      </w:r>
      <w:r w:rsidR="008737D4">
        <w:fldChar w:fldCharType="separate"/>
      </w:r>
      <w:r w:rsidR="00D41256">
        <w:rPr>
          <w:noProof/>
        </w:rPr>
        <w:t>6</w:t>
      </w:r>
      <w:r w:rsidR="008737D4">
        <w:rPr>
          <w:noProof/>
        </w:rPr>
        <w:fldChar w:fldCharType="end"/>
      </w:r>
      <w:r>
        <w:t xml:space="preserve"> I</w:t>
      </w:r>
      <w:r>
        <w:rPr>
          <w:rFonts w:asciiTheme="minorHAnsi" w:eastAsia="Times New Roman" w:hAnsiTheme="minorHAnsi" w:cstheme="minorHAnsi"/>
          <w:bCs/>
          <w:color w:val="000000"/>
          <w:sz w:val="22"/>
        </w:rPr>
        <w:t xml:space="preserve">mpact of considering LIS projections as submitted by </w:t>
      </w:r>
      <w:proofErr w:type="gramStart"/>
      <w:r>
        <w:rPr>
          <w:rFonts w:asciiTheme="minorHAnsi" w:eastAsia="Times New Roman" w:hAnsiTheme="minorHAnsi" w:cstheme="minorHAnsi"/>
          <w:bCs/>
          <w:color w:val="000000"/>
          <w:sz w:val="22"/>
        </w:rPr>
        <w:t>I&amp;CAD</w:t>
      </w:r>
      <w:proofErr w:type="gramEnd"/>
      <w:r>
        <w:rPr>
          <w:rFonts w:asciiTheme="minorHAnsi" w:eastAsia="Times New Roman" w:hAnsiTheme="minorHAnsi" w:cstheme="minorHAnsi"/>
          <w:bCs/>
          <w:color w:val="000000"/>
          <w:sz w:val="22"/>
        </w:rPr>
        <w:t xml:space="preserve"> for 5</w:t>
      </w:r>
      <w:r w:rsidRPr="007373B2">
        <w:rPr>
          <w:rFonts w:asciiTheme="minorHAnsi" w:eastAsia="Times New Roman" w:hAnsiTheme="minorHAnsi" w:cstheme="minorHAnsi"/>
          <w:bCs/>
          <w:color w:val="000000"/>
          <w:sz w:val="22"/>
          <w:vertAlign w:val="superscript"/>
        </w:rPr>
        <w:t>th</w:t>
      </w:r>
      <w:r>
        <w:rPr>
          <w:rFonts w:asciiTheme="minorHAnsi" w:eastAsia="Times New Roman" w:hAnsiTheme="minorHAnsi" w:cstheme="minorHAnsi"/>
          <w:bCs/>
          <w:color w:val="000000"/>
          <w:sz w:val="22"/>
        </w:rPr>
        <w:t xml:space="preserve"> and 6</w:t>
      </w:r>
      <w:r w:rsidRPr="007373B2">
        <w:rPr>
          <w:rFonts w:asciiTheme="minorHAnsi" w:eastAsia="Times New Roman" w:hAnsiTheme="minorHAnsi" w:cstheme="minorHAnsi"/>
          <w:bCs/>
          <w:color w:val="000000"/>
          <w:sz w:val="22"/>
          <w:vertAlign w:val="superscript"/>
        </w:rPr>
        <w:t>th</w:t>
      </w:r>
      <w:r>
        <w:rPr>
          <w:rFonts w:asciiTheme="minorHAnsi" w:eastAsia="Times New Roman" w:hAnsiTheme="minorHAnsi" w:cstheme="minorHAnsi"/>
          <w:bCs/>
          <w:color w:val="000000"/>
          <w:sz w:val="22"/>
        </w:rPr>
        <w:t xml:space="preserve"> CP and availability as submitted in 5</w:t>
      </w:r>
      <w:r w:rsidRPr="00405C57">
        <w:rPr>
          <w:rFonts w:asciiTheme="minorHAnsi" w:eastAsia="Times New Roman" w:hAnsiTheme="minorHAnsi" w:cstheme="minorHAnsi"/>
          <w:bCs/>
          <w:color w:val="000000"/>
          <w:sz w:val="22"/>
          <w:vertAlign w:val="superscript"/>
        </w:rPr>
        <w:t>th</w:t>
      </w:r>
      <w:r>
        <w:rPr>
          <w:rFonts w:asciiTheme="minorHAnsi" w:eastAsia="Times New Roman" w:hAnsiTheme="minorHAnsi" w:cstheme="minorHAnsi"/>
          <w:bCs/>
          <w:color w:val="000000"/>
          <w:sz w:val="22"/>
        </w:rPr>
        <w:t xml:space="preserve"> and 6</w:t>
      </w:r>
      <w:r w:rsidRPr="00405C57">
        <w:rPr>
          <w:rFonts w:asciiTheme="minorHAnsi" w:eastAsia="Times New Roman" w:hAnsiTheme="minorHAnsi" w:cstheme="minorHAnsi"/>
          <w:bCs/>
          <w:color w:val="000000"/>
          <w:sz w:val="22"/>
          <w:vertAlign w:val="superscript"/>
        </w:rPr>
        <w:t>th</w:t>
      </w:r>
      <w:r>
        <w:rPr>
          <w:rFonts w:asciiTheme="minorHAnsi" w:eastAsia="Times New Roman" w:hAnsiTheme="minorHAnsi" w:cstheme="minorHAnsi"/>
          <w:bCs/>
          <w:color w:val="000000"/>
          <w:sz w:val="22"/>
        </w:rPr>
        <w:t xml:space="preserve"> CP filings (based on Normative PAF)</w:t>
      </w:r>
    </w:p>
    <w:tbl>
      <w:tblPr>
        <w:tblW w:w="10906" w:type="dxa"/>
        <w:tblInd w:w="-545" w:type="dxa"/>
        <w:tblLayout w:type="fixed"/>
        <w:tblLook w:val="04A0"/>
      </w:tblPr>
      <w:tblGrid>
        <w:gridCol w:w="1763"/>
        <w:gridCol w:w="914"/>
        <w:gridCol w:w="914"/>
        <w:gridCol w:w="914"/>
        <w:gridCol w:w="914"/>
        <w:gridCol w:w="915"/>
        <w:gridCol w:w="914"/>
        <w:gridCol w:w="914"/>
        <w:gridCol w:w="914"/>
        <w:gridCol w:w="914"/>
        <w:gridCol w:w="916"/>
      </w:tblGrid>
      <w:tr w:rsidR="00572DAB" w:rsidRPr="00CC262D" w:rsidTr="008B76BE">
        <w:trPr>
          <w:trHeight w:val="218"/>
          <w:tblHeader/>
        </w:trPr>
        <w:tc>
          <w:tcPr>
            <w:tcW w:w="1763" w:type="dxa"/>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Particular</w:t>
            </w:r>
          </w:p>
        </w:tc>
        <w:tc>
          <w:tcPr>
            <w:tcW w:w="9143" w:type="dxa"/>
            <w:gridSpan w:val="10"/>
            <w:tcBorders>
              <w:top w:val="single" w:sz="4" w:space="0" w:color="auto"/>
              <w:left w:val="nil"/>
              <w:bottom w:val="single" w:sz="4" w:space="0" w:color="auto"/>
              <w:right w:val="single" w:sz="4" w:space="0" w:color="auto"/>
            </w:tcBorders>
            <w:shd w:val="clear" w:color="000000" w:fill="FF89FF"/>
            <w:noWrap/>
            <w:vAlign w:val="bottom"/>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asciiTheme="minorHAnsi" w:eastAsia="Times New Roman" w:hAnsiTheme="minorHAnsi" w:cstheme="minorHAnsi"/>
                <w:b/>
                <w:bCs/>
                <w:color w:val="000000"/>
                <w:sz w:val="22"/>
              </w:rPr>
              <w:t xml:space="preserve">Impact of </w:t>
            </w:r>
            <w:r w:rsidRPr="00CC262D">
              <w:rPr>
                <w:rFonts w:asciiTheme="minorHAnsi" w:eastAsia="Times New Roman" w:hAnsiTheme="minorHAnsi" w:cstheme="minorHAnsi"/>
                <w:b/>
                <w:bCs/>
                <w:color w:val="000000"/>
                <w:sz w:val="22"/>
              </w:rPr>
              <w:t xml:space="preserve">Energy Balance in </w:t>
            </w:r>
            <w:proofErr w:type="spellStart"/>
            <w:r w:rsidRPr="00CC262D">
              <w:rPr>
                <w:rFonts w:asciiTheme="minorHAnsi" w:eastAsia="Times New Roman" w:hAnsiTheme="minorHAnsi" w:cstheme="minorHAnsi"/>
                <w:b/>
                <w:bCs/>
                <w:color w:val="000000"/>
                <w:sz w:val="22"/>
              </w:rPr>
              <w:t>Telangana</w:t>
            </w:r>
            <w:proofErr w:type="spellEnd"/>
            <w:r w:rsidRPr="00CC262D">
              <w:rPr>
                <w:rFonts w:asciiTheme="minorHAnsi" w:eastAsia="Times New Roman" w:hAnsiTheme="minorHAnsi" w:cstheme="minorHAnsi"/>
                <w:b/>
                <w:bCs/>
                <w:color w:val="000000"/>
                <w:sz w:val="22"/>
              </w:rPr>
              <w:t xml:space="preserve"> State</w:t>
            </w:r>
          </w:p>
        </w:tc>
      </w:tr>
      <w:tr w:rsidR="00572DAB" w:rsidRPr="00CC262D" w:rsidTr="008B76BE">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572DAB" w:rsidRPr="00CC262D" w:rsidRDefault="00572DAB" w:rsidP="008B76BE">
            <w:pPr>
              <w:spacing w:after="0" w:line="240" w:lineRule="auto"/>
              <w:rPr>
                <w:rFonts w:asciiTheme="minorHAnsi" w:eastAsia="Times New Roman" w:hAnsiTheme="minorHAnsi" w:cstheme="minorHAnsi"/>
                <w:b/>
                <w:bCs/>
                <w:color w:val="000000"/>
                <w:sz w:val="22"/>
              </w:rPr>
            </w:pPr>
          </w:p>
        </w:tc>
        <w:tc>
          <w:tcPr>
            <w:tcW w:w="4571" w:type="dxa"/>
            <w:gridSpan w:val="5"/>
            <w:tcBorders>
              <w:top w:val="single" w:sz="4" w:space="0" w:color="auto"/>
              <w:left w:val="nil"/>
              <w:bottom w:val="single" w:sz="4" w:space="0" w:color="auto"/>
              <w:right w:val="single" w:sz="4" w:space="0" w:color="auto"/>
            </w:tcBorders>
            <w:shd w:val="clear" w:color="000000" w:fill="FFF2CC"/>
            <w:noWrap/>
            <w:vAlign w:val="bottom"/>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5th Control Period</w:t>
            </w:r>
          </w:p>
        </w:tc>
        <w:tc>
          <w:tcPr>
            <w:tcW w:w="4572" w:type="dxa"/>
            <w:gridSpan w:val="5"/>
            <w:tcBorders>
              <w:top w:val="single" w:sz="4" w:space="0" w:color="auto"/>
              <w:left w:val="nil"/>
              <w:bottom w:val="single" w:sz="4" w:space="0" w:color="auto"/>
              <w:right w:val="single" w:sz="4" w:space="0" w:color="auto"/>
            </w:tcBorders>
            <w:shd w:val="clear" w:color="000000" w:fill="FCE4D6"/>
            <w:noWrap/>
            <w:vAlign w:val="bottom"/>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6th Control Period</w:t>
            </w:r>
          </w:p>
        </w:tc>
      </w:tr>
      <w:tr w:rsidR="00572DAB" w:rsidRPr="000941B2" w:rsidTr="008B76BE">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572DAB" w:rsidRPr="00CC262D" w:rsidRDefault="00572DAB" w:rsidP="008B76BE">
            <w:pPr>
              <w:spacing w:after="0" w:line="240" w:lineRule="auto"/>
              <w:rPr>
                <w:rFonts w:asciiTheme="minorHAnsi" w:eastAsia="Times New Roman" w:hAnsiTheme="minorHAnsi" w:cstheme="minorHAnsi"/>
                <w:b/>
                <w:bCs/>
                <w:color w:val="000000"/>
                <w:sz w:val="22"/>
              </w:rPr>
            </w:pP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2024-25</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2025-26</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2026-27</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2027-28</w:t>
            </w:r>
          </w:p>
        </w:tc>
        <w:tc>
          <w:tcPr>
            <w:tcW w:w="915"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2028-29</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2029-30</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2030-31</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2031-32</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2032-33</w:t>
            </w:r>
          </w:p>
        </w:tc>
        <w:tc>
          <w:tcPr>
            <w:tcW w:w="916"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2033-34</w:t>
            </w:r>
          </w:p>
        </w:tc>
      </w:tr>
      <w:tr w:rsidR="00572DAB" w:rsidRPr="000941B2" w:rsidTr="008B76BE">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72DAB" w:rsidRPr="00CC262D" w:rsidRDefault="00572DAB" w:rsidP="008B76BE">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Availability</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121754 </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127451 </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127126 </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126658 </w:t>
            </w:r>
          </w:p>
        </w:tc>
        <w:tc>
          <w:tcPr>
            <w:tcW w:w="915"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122090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115424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114555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114608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114601 </w:t>
            </w:r>
          </w:p>
        </w:tc>
        <w:tc>
          <w:tcPr>
            <w:tcW w:w="916"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114657 </w:t>
            </w:r>
          </w:p>
        </w:tc>
      </w:tr>
      <w:tr w:rsidR="00572DAB" w:rsidRPr="000941B2" w:rsidTr="008B76BE">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72DAB" w:rsidRPr="00CC262D" w:rsidRDefault="00572DAB" w:rsidP="008B76BE">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Requirement</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90587 </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94885 </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99371 </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104310 </w:t>
            </w:r>
          </w:p>
        </w:tc>
        <w:tc>
          <w:tcPr>
            <w:tcW w:w="915"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109354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114344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120062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126205 </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132790 </w:t>
            </w:r>
          </w:p>
        </w:tc>
        <w:tc>
          <w:tcPr>
            <w:tcW w:w="916"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139819 </w:t>
            </w:r>
          </w:p>
        </w:tc>
      </w:tr>
      <w:tr w:rsidR="00572DAB" w:rsidRPr="000941B2" w:rsidTr="008B76BE">
        <w:trPr>
          <w:trHeight w:val="218"/>
        </w:trPr>
        <w:tc>
          <w:tcPr>
            <w:tcW w:w="1763" w:type="dxa"/>
            <w:tcBorders>
              <w:top w:val="nil"/>
              <w:left w:val="single" w:sz="4" w:space="0" w:color="auto"/>
              <w:bottom w:val="single" w:sz="4" w:space="0" w:color="auto"/>
              <w:right w:val="single" w:sz="4" w:space="0" w:color="auto"/>
            </w:tcBorders>
            <w:shd w:val="clear" w:color="000000" w:fill="FFC000"/>
            <w:noWrap/>
            <w:vAlign w:val="bottom"/>
            <w:hideMark/>
          </w:tcPr>
          <w:p w:rsidR="00572DAB" w:rsidRPr="00CC262D" w:rsidRDefault="00572DAB" w:rsidP="008B76BE">
            <w:pPr>
              <w:spacing w:after="0" w:line="240" w:lineRule="auto"/>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Surplus/(Deficit)</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31168 </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32566 </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27756 </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22348 </w:t>
            </w:r>
          </w:p>
        </w:tc>
        <w:tc>
          <w:tcPr>
            <w:tcW w:w="915"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12736 </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1080 </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(5507)</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(11597)</w:t>
            </w:r>
          </w:p>
        </w:tc>
        <w:tc>
          <w:tcPr>
            <w:tcW w:w="914"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(18189)</w:t>
            </w:r>
          </w:p>
        </w:tc>
        <w:tc>
          <w:tcPr>
            <w:tcW w:w="916" w:type="dxa"/>
            <w:tcBorders>
              <w:top w:val="nil"/>
              <w:left w:val="nil"/>
              <w:bottom w:val="single" w:sz="4" w:space="0" w:color="auto"/>
              <w:right w:val="single" w:sz="4" w:space="0" w:color="auto"/>
            </w:tcBorders>
            <w:shd w:val="clear" w:color="000000" w:fill="FFC000"/>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(25163)</w:t>
            </w:r>
          </w:p>
        </w:tc>
      </w:tr>
      <w:tr w:rsidR="00572DAB" w:rsidRPr="000941B2" w:rsidTr="008B76BE">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72DAB" w:rsidRPr="00CC262D" w:rsidRDefault="00572DAB" w:rsidP="008B76BE">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 of Surplus to Availability</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34%</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34%</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28%</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21%</w:t>
            </w:r>
          </w:p>
        </w:tc>
        <w:tc>
          <w:tcPr>
            <w:tcW w:w="915"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12%</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-5%</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-9%</w:t>
            </w:r>
          </w:p>
        </w:tc>
        <w:tc>
          <w:tcPr>
            <w:tcW w:w="914"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-14%</w:t>
            </w:r>
          </w:p>
        </w:tc>
        <w:tc>
          <w:tcPr>
            <w:tcW w:w="916" w:type="dxa"/>
            <w:tcBorders>
              <w:top w:val="nil"/>
              <w:left w:val="nil"/>
              <w:bottom w:val="single" w:sz="4" w:space="0" w:color="auto"/>
              <w:right w:val="single" w:sz="4" w:space="0" w:color="auto"/>
            </w:tcBorders>
            <w:shd w:val="clear" w:color="auto" w:fill="auto"/>
            <w:noWrap/>
            <w:vAlign w:val="center"/>
            <w:hideMark/>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-18%</w:t>
            </w:r>
          </w:p>
        </w:tc>
      </w:tr>
    </w:tbl>
    <w:p w:rsidR="00572DAB" w:rsidRDefault="00A4543F" w:rsidP="00572DAB">
      <w:pPr>
        <w:jc w:val="both"/>
        <w:rPr>
          <w:b/>
          <w:bCs/>
        </w:rPr>
      </w:pPr>
      <w:r>
        <w:rPr>
          <w:b/>
          <w:bCs/>
        </w:rPr>
        <w:lastRenderedPageBreak/>
        <w:t xml:space="preserve">B) </w:t>
      </w:r>
      <w:r w:rsidR="00572DAB">
        <w:rPr>
          <w:b/>
          <w:bCs/>
        </w:rPr>
        <w:t>Delay in Commissioning of new Generating Stations</w:t>
      </w:r>
    </w:p>
    <w:p w:rsidR="00572DAB" w:rsidRDefault="00572DAB" w:rsidP="00572DAB">
      <w:pPr>
        <w:jc w:val="both"/>
      </w:pPr>
      <w:r>
        <w:t xml:space="preserve">In the Resource Plan filings, the </w:t>
      </w:r>
      <w:proofErr w:type="spellStart"/>
      <w:r>
        <w:t>Discoms</w:t>
      </w:r>
      <w:proofErr w:type="spellEnd"/>
      <w:r>
        <w:t xml:space="preserve"> have submitted that power from the following new generating stations have been considered in 5</w:t>
      </w:r>
      <w:r w:rsidRPr="00E032E2">
        <w:rPr>
          <w:vertAlign w:val="superscript"/>
        </w:rPr>
        <w:t>th</w:t>
      </w:r>
      <w:r>
        <w:t xml:space="preserve"> and 6</w:t>
      </w:r>
      <w:r w:rsidRPr="00E032E2">
        <w:rPr>
          <w:vertAlign w:val="superscript"/>
        </w:rPr>
        <w:t>th</w:t>
      </w:r>
      <w:r>
        <w:t xml:space="preserve"> Control Period:</w:t>
      </w:r>
    </w:p>
    <w:p w:rsidR="00572DAB" w:rsidRDefault="00572DAB" w:rsidP="00572DAB">
      <w:pPr>
        <w:pStyle w:val="Caption"/>
      </w:pPr>
      <w:r>
        <w:t xml:space="preserve">Table </w:t>
      </w:r>
      <w:r w:rsidR="008737D4">
        <w:fldChar w:fldCharType="begin"/>
      </w:r>
      <w:r>
        <w:instrText xml:space="preserve"> SEQ Table \* ARABIC </w:instrText>
      </w:r>
      <w:r w:rsidR="008737D4">
        <w:fldChar w:fldCharType="separate"/>
      </w:r>
      <w:r w:rsidR="00D41256">
        <w:rPr>
          <w:noProof/>
        </w:rPr>
        <w:t>7</w:t>
      </w:r>
      <w:r w:rsidR="008737D4">
        <w:rPr>
          <w:noProof/>
        </w:rPr>
        <w:fldChar w:fldCharType="end"/>
      </w:r>
      <w:r>
        <w:t xml:space="preserve"> New Generating Stations </w:t>
      </w:r>
      <w:r w:rsidRPr="003478BF">
        <w:t>availabilities</w:t>
      </w:r>
      <w:r>
        <w:t xml:space="preserve"> considered in Resource Plan filings </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35"/>
        <w:gridCol w:w="1970"/>
        <w:gridCol w:w="4143"/>
      </w:tblGrid>
      <w:tr w:rsidR="00572DAB" w:rsidRPr="005937DA" w:rsidTr="008B76BE">
        <w:trPr>
          <w:trHeight w:val="225"/>
          <w:tblHeader/>
          <w:jc w:val="center"/>
        </w:trPr>
        <w:tc>
          <w:tcPr>
            <w:tcW w:w="2335" w:type="dxa"/>
            <w:shd w:val="clear" w:color="auto" w:fill="FFD966" w:themeFill="accent4" w:themeFillTint="99"/>
            <w:noWrap/>
            <w:vAlign w:val="bottom"/>
            <w:hideMark/>
          </w:tcPr>
          <w:p w:rsidR="00572DAB" w:rsidRPr="005937DA" w:rsidRDefault="00572DAB" w:rsidP="008B76BE">
            <w:pPr>
              <w:spacing w:after="0" w:line="240" w:lineRule="auto"/>
              <w:rPr>
                <w:rFonts w:eastAsia="Times New Roman" w:cs="Calibri"/>
                <w:b/>
                <w:bCs/>
                <w:color w:val="000000"/>
                <w:sz w:val="22"/>
              </w:rPr>
            </w:pPr>
            <w:r w:rsidRPr="005937DA">
              <w:rPr>
                <w:rFonts w:eastAsia="Times New Roman" w:cs="Calibri"/>
                <w:b/>
                <w:bCs/>
                <w:color w:val="000000"/>
                <w:sz w:val="22"/>
              </w:rPr>
              <w:t>Station</w:t>
            </w:r>
          </w:p>
        </w:tc>
        <w:tc>
          <w:tcPr>
            <w:tcW w:w="1970" w:type="dxa"/>
            <w:shd w:val="clear" w:color="auto" w:fill="FFD966" w:themeFill="accent4" w:themeFillTint="99"/>
            <w:noWrap/>
            <w:vAlign w:val="bottom"/>
            <w:hideMark/>
          </w:tcPr>
          <w:p w:rsidR="00572DAB" w:rsidRPr="005937DA" w:rsidRDefault="00572DAB" w:rsidP="008B76BE">
            <w:pPr>
              <w:spacing w:after="0" w:line="240" w:lineRule="auto"/>
              <w:rPr>
                <w:rFonts w:eastAsia="Times New Roman" w:cs="Calibri"/>
                <w:b/>
                <w:bCs/>
                <w:color w:val="000000"/>
                <w:sz w:val="22"/>
              </w:rPr>
            </w:pPr>
            <w:r w:rsidRPr="005937DA">
              <w:rPr>
                <w:rFonts w:eastAsia="Times New Roman" w:cs="Calibri"/>
                <w:b/>
                <w:bCs/>
                <w:color w:val="000000"/>
                <w:sz w:val="22"/>
              </w:rPr>
              <w:t>Capacity (MW)</w:t>
            </w:r>
          </w:p>
        </w:tc>
        <w:tc>
          <w:tcPr>
            <w:tcW w:w="4143" w:type="dxa"/>
            <w:shd w:val="clear" w:color="auto" w:fill="FFD966" w:themeFill="accent4" w:themeFillTint="99"/>
            <w:noWrap/>
            <w:vAlign w:val="bottom"/>
            <w:hideMark/>
          </w:tcPr>
          <w:p w:rsidR="00572DAB" w:rsidRPr="005937DA" w:rsidRDefault="00572DAB" w:rsidP="008B76BE">
            <w:pPr>
              <w:spacing w:after="0" w:line="240" w:lineRule="auto"/>
              <w:rPr>
                <w:rFonts w:eastAsia="Times New Roman" w:cs="Calibri"/>
                <w:b/>
                <w:bCs/>
                <w:color w:val="000000"/>
                <w:sz w:val="22"/>
              </w:rPr>
            </w:pPr>
            <w:r>
              <w:rPr>
                <w:rFonts w:eastAsia="Times New Roman" w:cs="Calibri"/>
                <w:b/>
                <w:bCs/>
                <w:color w:val="000000"/>
                <w:sz w:val="22"/>
              </w:rPr>
              <w:t>Date of Commissioning &amp; Capacities</w:t>
            </w:r>
          </w:p>
        </w:tc>
      </w:tr>
      <w:tr w:rsidR="00572DAB" w:rsidRPr="005937DA" w:rsidTr="008B76BE">
        <w:trPr>
          <w:trHeight w:val="1126"/>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YTPS</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4000</w:t>
            </w:r>
          </w:p>
        </w:tc>
        <w:tc>
          <w:tcPr>
            <w:tcW w:w="4143"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 xml:space="preserve">Unit#1, Dec' 2023, </w:t>
            </w:r>
            <w:r w:rsidRPr="005937DA">
              <w:rPr>
                <w:rFonts w:eastAsia="Times New Roman" w:cs="Calibri"/>
                <w:color w:val="000000"/>
                <w:sz w:val="22"/>
              </w:rPr>
              <w:br/>
              <w:t xml:space="preserve">Unit#2, Mar' 2024, </w:t>
            </w:r>
            <w:r w:rsidRPr="005937DA">
              <w:rPr>
                <w:rFonts w:eastAsia="Times New Roman" w:cs="Calibri"/>
                <w:color w:val="000000"/>
                <w:sz w:val="22"/>
              </w:rPr>
              <w:br/>
              <w:t xml:space="preserve">Unit#3, May' 2024, </w:t>
            </w:r>
            <w:r w:rsidRPr="005937DA">
              <w:rPr>
                <w:rFonts w:eastAsia="Times New Roman" w:cs="Calibri"/>
                <w:color w:val="000000"/>
                <w:sz w:val="22"/>
              </w:rPr>
              <w:br/>
              <w:t xml:space="preserve">Unit#4, July' 2024, </w:t>
            </w:r>
            <w:r w:rsidRPr="005937DA">
              <w:rPr>
                <w:rFonts w:eastAsia="Times New Roman" w:cs="Calibri"/>
                <w:color w:val="000000"/>
                <w:sz w:val="22"/>
              </w:rPr>
              <w:br/>
              <w:t>Unit#5, Sept' 2024.</w:t>
            </w:r>
          </w:p>
        </w:tc>
      </w:tr>
      <w:tr w:rsidR="00572DAB" w:rsidRPr="005937DA" w:rsidTr="008B76BE">
        <w:trPr>
          <w:trHeight w:val="450"/>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proofErr w:type="spellStart"/>
            <w:r w:rsidRPr="005937DA">
              <w:rPr>
                <w:rFonts w:eastAsia="Times New Roman" w:cs="Calibri"/>
                <w:color w:val="000000"/>
                <w:sz w:val="22"/>
              </w:rPr>
              <w:t>Telangana</w:t>
            </w:r>
            <w:proofErr w:type="spellEnd"/>
            <w:r w:rsidRPr="005937DA">
              <w:rPr>
                <w:rFonts w:eastAsia="Times New Roman" w:cs="Calibri"/>
                <w:color w:val="000000"/>
                <w:sz w:val="22"/>
              </w:rPr>
              <w:t xml:space="preserve"> STPP</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1360</w:t>
            </w:r>
          </w:p>
        </w:tc>
        <w:tc>
          <w:tcPr>
            <w:tcW w:w="4143"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Unit-I Apr-23</w:t>
            </w:r>
            <w:r w:rsidRPr="005937DA">
              <w:rPr>
                <w:rFonts w:eastAsia="Times New Roman" w:cs="Calibri"/>
                <w:color w:val="000000"/>
                <w:sz w:val="22"/>
              </w:rPr>
              <w:br/>
              <w:t>Unit-II Jun-23</w:t>
            </w:r>
          </w:p>
        </w:tc>
      </w:tr>
      <w:tr w:rsidR="00572DAB" w:rsidRPr="005937DA" w:rsidTr="008B76BE">
        <w:trPr>
          <w:trHeight w:val="450"/>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SECI 400 MW</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130</w:t>
            </w:r>
          </w:p>
        </w:tc>
        <w:tc>
          <w:tcPr>
            <w:tcW w:w="4143"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270 MW is already Commissioned</w:t>
            </w:r>
            <w:r w:rsidRPr="005937DA">
              <w:rPr>
                <w:rFonts w:eastAsia="Times New Roman" w:cs="Calibri"/>
                <w:color w:val="000000"/>
                <w:sz w:val="22"/>
              </w:rPr>
              <w:br/>
              <w:t>Balance 130 MW - Apr'23</w:t>
            </w:r>
          </w:p>
        </w:tc>
      </w:tr>
      <w:tr w:rsidR="00572DAB" w:rsidRPr="005937DA" w:rsidTr="008B76BE">
        <w:trPr>
          <w:trHeight w:val="225"/>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SECI 1000 MW</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1000</w:t>
            </w:r>
          </w:p>
        </w:tc>
        <w:tc>
          <w:tcPr>
            <w:tcW w:w="4143"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1000 MW - Oct'23</w:t>
            </w:r>
          </w:p>
        </w:tc>
      </w:tr>
      <w:tr w:rsidR="00572DAB" w:rsidRPr="005937DA" w:rsidTr="008B76BE">
        <w:trPr>
          <w:trHeight w:val="1126"/>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NTPC CPSU 1692 MW</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260</w:t>
            </w:r>
          </w:p>
        </w:tc>
        <w:tc>
          <w:tcPr>
            <w:tcW w:w="4143"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1432 MW is already Commissioned</w:t>
            </w:r>
            <w:r w:rsidRPr="005937DA">
              <w:rPr>
                <w:rFonts w:eastAsia="Times New Roman" w:cs="Calibri"/>
                <w:color w:val="000000"/>
                <w:sz w:val="22"/>
              </w:rPr>
              <w:br/>
              <w:t>Balance:</w:t>
            </w:r>
            <w:r w:rsidRPr="005937DA">
              <w:rPr>
                <w:rFonts w:eastAsia="Times New Roman" w:cs="Calibri"/>
                <w:color w:val="000000"/>
                <w:sz w:val="22"/>
              </w:rPr>
              <w:br/>
              <w:t>100 MW - Mar'23</w:t>
            </w:r>
            <w:r w:rsidRPr="005937DA">
              <w:rPr>
                <w:rFonts w:eastAsia="Times New Roman" w:cs="Calibri"/>
                <w:color w:val="000000"/>
                <w:sz w:val="22"/>
              </w:rPr>
              <w:br/>
              <w:t>10 MW - Apr'23</w:t>
            </w:r>
            <w:r w:rsidRPr="005937DA">
              <w:rPr>
                <w:rFonts w:eastAsia="Times New Roman" w:cs="Calibri"/>
                <w:color w:val="000000"/>
                <w:sz w:val="22"/>
              </w:rPr>
              <w:br/>
              <w:t>150 MW - Mar'24</w:t>
            </w:r>
          </w:p>
        </w:tc>
      </w:tr>
      <w:tr w:rsidR="00572DAB" w:rsidRPr="005937DA" w:rsidTr="008B76BE">
        <w:trPr>
          <w:trHeight w:val="450"/>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NTPC CPSU 1045 MW</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1045</w:t>
            </w:r>
          </w:p>
        </w:tc>
        <w:tc>
          <w:tcPr>
            <w:tcW w:w="4143"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735 MW - Nov'23</w:t>
            </w:r>
            <w:r w:rsidRPr="005937DA">
              <w:rPr>
                <w:rFonts w:eastAsia="Times New Roman" w:cs="Calibri"/>
                <w:color w:val="000000"/>
                <w:sz w:val="22"/>
              </w:rPr>
              <w:br/>
              <w:t>310 MW - Apr'24</w:t>
            </w:r>
          </w:p>
        </w:tc>
      </w:tr>
      <w:tr w:rsidR="00572DAB" w:rsidRPr="005937DA" w:rsidTr="008B76BE">
        <w:trPr>
          <w:trHeight w:val="225"/>
          <w:jc w:val="center"/>
        </w:trPr>
        <w:tc>
          <w:tcPr>
            <w:tcW w:w="233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NHPC CPSU 500 MW</w:t>
            </w:r>
          </w:p>
        </w:tc>
        <w:tc>
          <w:tcPr>
            <w:tcW w:w="1970"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500</w:t>
            </w:r>
          </w:p>
        </w:tc>
        <w:tc>
          <w:tcPr>
            <w:tcW w:w="4143"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500 MW - Apr'24</w:t>
            </w:r>
          </w:p>
        </w:tc>
      </w:tr>
    </w:tbl>
    <w:p w:rsidR="00572DAB" w:rsidRDefault="00572DAB" w:rsidP="00572DAB">
      <w:pPr>
        <w:jc w:val="both"/>
      </w:pPr>
    </w:p>
    <w:p w:rsidR="00572DAB" w:rsidRDefault="00572DAB" w:rsidP="00572DAB">
      <w:pPr>
        <w:jc w:val="both"/>
      </w:pPr>
      <w:r>
        <w:t>The availability of power from the above stated generating sources has been considered from their CODs in the 5</w:t>
      </w:r>
      <w:r w:rsidRPr="006F3AB7">
        <w:rPr>
          <w:vertAlign w:val="superscript"/>
        </w:rPr>
        <w:t>th</w:t>
      </w:r>
      <w:r>
        <w:t xml:space="preserve"> and 6</w:t>
      </w:r>
      <w:r w:rsidRPr="006F3AB7">
        <w:rPr>
          <w:vertAlign w:val="superscript"/>
        </w:rPr>
        <w:t>th</w:t>
      </w:r>
      <w:r>
        <w:t xml:space="preserve"> Control Period as follows: </w:t>
      </w:r>
    </w:p>
    <w:p w:rsidR="00572DAB" w:rsidRDefault="00572DAB" w:rsidP="00572DAB">
      <w:pPr>
        <w:pStyle w:val="Caption"/>
      </w:pPr>
      <w:r>
        <w:t xml:space="preserve">Table </w:t>
      </w:r>
      <w:r w:rsidR="008737D4">
        <w:fldChar w:fldCharType="begin"/>
      </w:r>
      <w:r>
        <w:instrText xml:space="preserve"> SEQ Table \* ARABIC </w:instrText>
      </w:r>
      <w:r w:rsidR="008737D4">
        <w:fldChar w:fldCharType="separate"/>
      </w:r>
      <w:r w:rsidR="00D41256">
        <w:rPr>
          <w:noProof/>
        </w:rPr>
        <w:t>8</w:t>
      </w:r>
      <w:r w:rsidR="008737D4">
        <w:rPr>
          <w:noProof/>
        </w:rPr>
        <w:fldChar w:fldCharType="end"/>
      </w:r>
      <w:r>
        <w:t xml:space="preserve"> Availability of power from New </w:t>
      </w:r>
      <w:r w:rsidRPr="002312EE">
        <w:t>Generating</w:t>
      </w:r>
      <w:r>
        <w:t xml:space="preserve"> Stations considered in Resource Plan filings</w:t>
      </w:r>
    </w:p>
    <w:tbl>
      <w:tblPr>
        <w:tblW w:w="11169" w:type="dxa"/>
        <w:tblInd w:w="-730" w:type="dxa"/>
        <w:tblLayout w:type="fixed"/>
        <w:tblLook w:val="04A0"/>
      </w:tblPr>
      <w:tblGrid>
        <w:gridCol w:w="1980"/>
        <w:gridCol w:w="918"/>
        <w:gridCol w:w="919"/>
        <w:gridCol w:w="919"/>
        <w:gridCol w:w="919"/>
        <w:gridCol w:w="919"/>
        <w:gridCol w:w="919"/>
        <w:gridCol w:w="919"/>
        <w:gridCol w:w="919"/>
        <w:gridCol w:w="919"/>
        <w:gridCol w:w="919"/>
      </w:tblGrid>
      <w:tr w:rsidR="00572DAB" w:rsidRPr="002313EB" w:rsidTr="008B76BE">
        <w:trPr>
          <w:trHeight w:val="263"/>
          <w:tblHeader/>
        </w:trPr>
        <w:tc>
          <w:tcPr>
            <w:tcW w:w="1980" w:type="dxa"/>
            <w:tcBorders>
              <w:top w:val="single" w:sz="8" w:space="0" w:color="auto"/>
              <w:left w:val="single" w:sz="8" w:space="0" w:color="auto"/>
              <w:bottom w:val="single" w:sz="8" w:space="0" w:color="auto"/>
              <w:right w:val="single" w:sz="4" w:space="0" w:color="auto"/>
            </w:tcBorders>
            <w:shd w:val="clear" w:color="000000" w:fill="FFF2CC"/>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eastAsia="Times New Roman" w:cs="Calibri"/>
                <w:b/>
                <w:bCs/>
                <w:color w:val="000000"/>
                <w:sz w:val="22"/>
              </w:rPr>
              <w:t>Generating Station</w:t>
            </w:r>
          </w:p>
        </w:tc>
        <w:tc>
          <w:tcPr>
            <w:tcW w:w="918" w:type="dxa"/>
            <w:tcBorders>
              <w:top w:val="single" w:sz="8" w:space="0" w:color="auto"/>
              <w:left w:val="single" w:sz="8" w:space="0" w:color="auto"/>
              <w:bottom w:val="single" w:sz="8" w:space="0" w:color="auto"/>
              <w:right w:val="single" w:sz="4" w:space="0" w:color="auto"/>
            </w:tcBorders>
            <w:shd w:val="clear" w:color="000000" w:fill="FFF2CC"/>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2024-25</w:t>
            </w:r>
          </w:p>
        </w:tc>
        <w:tc>
          <w:tcPr>
            <w:tcW w:w="919" w:type="dxa"/>
            <w:tcBorders>
              <w:top w:val="single" w:sz="8" w:space="0" w:color="auto"/>
              <w:left w:val="nil"/>
              <w:bottom w:val="single" w:sz="8" w:space="0" w:color="auto"/>
              <w:right w:val="single" w:sz="4" w:space="0" w:color="auto"/>
            </w:tcBorders>
            <w:shd w:val="clear" w:color="000000" w:fill="FFF2CC"/>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2025-26</w:t>
            </w:r>
          </w:p>
        </w:tc>
        <w:tc>
          <w:tcPr>
            <w:tcW w:w="919" w:type="dxa"/>
            <w:tcBorders>
              <w:top w:val="single" w:sz="8" w:space="0" w:color="auto"/>
              <w:left w:val="nil"/>
              <w:bottom w:val="single" w:sz="8" w:space="0" w:color="auto"/>
              <w:right w:val="single" w:sz="4" w:space="0" w:color="auto"/>
            </w:tcBorders>
            <w:shd w:val="clear" w:color="000000" w:fill="FFF2CC"/>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2026-27</w:t>
            </w:r>
          </w:p>
        </w:tc>
        <w:tc>
          <w:tcPr>
            <w:tcW w:w="919" w:type="dxa"/>
            <w:tcBorders>
              <w:top w:val="single" w:sz="8" w:space="0" w:color="auto"/>
              <w:left w:val="nil"/>
              <w:bottom w:val="single" w:sz="8" w:space="0" w:color="auto"/>
              <w:right w:val="single" w:sz="4" w:space="0" w:color="auto"/>
            </w:tcBorders>
            <w:shd w:val="clear" w:color="000000" w:fill="FFF2CC"/>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2027-28</w:t>
            </w:r>
          </w:p>
        </w:tc>
        <w:tc>
          <w:tcPr>
            <w:tcW w:w="919" w:type="dxa"/>
            <w:tcBorders>
              <w:top w:val="single" w:sz="8" w:space="0" w:color="auto"/>
              <w:left w:val="nil"/>
              <w:bottom w:val="single" w:sz="8" w:space="0" w:color="auto"/>
              <w:right w:val="single" w:sz="8" w:space="0" w:color="auto"/>
            </w:tcBorders>
            <w:shd w:val="clear" w:color="000000" w:fill="FFF2CC"/>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2028-29</w:t>
            </w:r>
          </w:p>
        </w:tc>
        <w:tc>
          <w:tcPr>
            <w:tcW w:w="919" w:type="dxa"/>
            <w:tcBorders>
              <w:top w:val="single" w:sz="8" w:space="0" w:color="auto"/>
              <w:left w:val="nil"/>
              <w:bottom w:val="single" w:sz="8" w:space="0" w:color="auto"/>
              <w:right w:val="single" w:sz="4" w:space="0" w:color="auto"/>
            </w:tcBorders>
            <w:shd w:val="clear" w:color="000000" w:fill="FCE4D6"/>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2029-30</w:t>
            </w:r>
          </w:p>
        </w:tc>
        <w:tc>
          <w:tcPr>
            <w:tcW w:w="919" w:type="dxa"/>
            <w:tcBorders>
              <w:top w:val="single" w:sz="8" w:space="0" w:color="auto"/>
              <w:left w:val="nil"/>
              <w:bottom w:val="single" w:sz="8" w:space="0" w:color="auto"/>
              <w:right w:val="single" w:sz="4" w:space="0" w:color="auto"/>
            </w:tcBorders>
            <w:shd w:val="clear" w:color="000000" w:fill="FCE4D6"/>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2030-31</w:t>
            </w:r>
          </w:p>
        </w:tc>
        <w:tc>
          <w:tcPr>
            <w:tcW w:w="919" w:type="dxa"/>
            <w:tcBorders>
              <w:top w:val="single" w:sz="8" w:space="0" w:color="auto"/>
              <w:left w:val="nil"/>
              <w:bottom w:val="single" w:sz="8" w:space="0" w:color="auto"/>
              <w:right w:val="single" w:sz="4" w:space="0" w:color="auto"/>
            </w:tcBorders>
            <w:shd w:val="clear" w:color="000000" w:fill="FCE4D6"/>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2031-32</w:t>
            </w:r>
          </w:p>
        </w:tc>
        <w:tc>
          <w:tcPr>
            <w:tcW w:w="919" w:type="dxa"/>
            <w:tcBorders>
              <w:top w:val="single" w:sz="8" w:space="0" w:color="auto"/>
              <w:left w:val="nil"/>
              <w:bottom w:val="single" w:sz="8" w:space="0" w:color="auto"/>
              <w:right w:val="single" w:sz="4" w:space="0" w:color="auto"/>
            </w:tcBorders>
            <w:shd w:val="clear" w:color="000000" w:fill="FCE4D6"/>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2032-33</w:t>
            </w:r>
          </w:p>
        </w:tc>
        <w:tc>
          <w:tcPr>
            <w:tcW w:w="919" w:type="dxa"/>
            <w:tcBorders>
              <w:top w:val="single" w:sz="8" w:space="0" w:color="auto"/>
              <w:left w:val="nil"/>
              <w:bottom w:val="single" w:sz="8" w:space="0" w:color="auto"/>
              <w:right w:val="single" w:sz="8" w:space="0" w:color="auto"/>
            </w:tcBorders>
            <w:shd w:val="clear" w:color="000000" w:fill="FCE4D6"/>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2033-34</w:t>
            </w:r>
          </w:p>
        </w:tc>
      </w:tr>
      <w:tr w:rsidR="00572DAB" w:rsidRPr="002313EB" w:rsidTr="008B76BE">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YTPS</w:t>
            </w:r>
            <w:r>
              <w:rPr>
                <w:rFonts w:eastAsia="Times New Roman" w:cs="Calibri"/>
                <w:color w:val="000000"/>
                <w:sz w:val="22"/>
              </w:rPr>
              <w:t xml:space="preserve"> - 4000 MW</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23811</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29784</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TSTPP</w:t>
            </w:r>
            <w:r>
              <w:rPr>
                <w:rFonts w:eastAsia="Times New Roman" w:cs="Calibri"/>
                <w:color w:val="000000"/>
                <w:sz w:val="22"/>
              </w:rPr>
              <w:t xml:space="preserve"> – 1360 MW</w:t>
            </w:r>
          </w:p>
        </w:tc>
        <w:tc>
          <w:tcPr>
            <w:tcW w:w="918"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11718</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11682</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12216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12216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12074</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12038</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12216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12216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12074</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12216</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 xml:space="preserve">SECI ISTS </w:t>
            </w:r>
            <w:proofErr w:type="spellStart"/>
            <w:r w:rsidRPr="002313EB">
              <w:rPr>
                <w:rFonts w:eastAsia="Times New Roman" w:cs="Calibri"/>
                <w:color w:val="000000"/>
                <w:sz w:val="22"/>
              </w:rPr>
              <w:t>Tr</w:t>
            </w:r>
            <w:proofErr w:type="spellEnd"/>
            <w:r w:rsidRPr="002313EB">
              <w:rPr>
                <w:rFonts w:eastAsia="Times New Roman" w:cs="Calibri"/>
                <w:color w:val="000000"/>
                <w:sz w:val="22"/>
              </w:rPr>
              <w:t>-VI -400 MW</w:t>
            </w:r>
          </w:p>
        </w:tc>
        <w:tc>
          <w:tcPr>
            <w:tcW w:w="918"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876</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 xml:space="preserve">NTPC CPSU </w:t>
            </w:r>
            <w:proofErr w:type="spellStart"/>
            <w:r w:rsidRPr="002313EB">
              <w:rPr>
                <w:rFonts w:eastAsia="Times New Roman" w:cs="Calibri"/>
                <w:color w:val="000000"/>
                <w:sz w:val="22"/>
              </w:rPr>
              <w:t>Tr</w:t>
            </w:r>
            <w:proofErr w:type="spellEnd"/>
            <w:r w:rsidRPr="002313EB">
              <w:rPr>
                <w:rFonts w:eastAsia="Times New Roman" w:cs="Calibri"/>
                <w:color w:val="000000"/>
                <w:sz w:val="22"/>
              </w:rPr>
              <w:t>-I &amp;II - 1692 MW</w:t>
            </w:r>
          </w:p>
        </w:tc>
        <w:tc>
          <w:tcPr>
            <w:tcW w:w="918"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3706</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3705</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 xml:space="preserve">NTPC CPSU </w:t>
            </w:r>
            <w:proofErr w:type="spellStart"/>
            <w:r w:rsidRPr="002313EB">
              <w:rPr>
                <w:rFonts w:eastAsia="Times New Roman" w:cs="Calibri"/>
                <w:color w:val="000000"/>
                <w:sz w:val="22"/>
              </w:rPr>
              <w:t>Tr</w:t>
            </w:r>
            <w:proofErr w:type="spellEnd"/>
            <w:r w:rsidRPr="002313EB">
              <w:rPr>
                <w:rFonts w:eastAsia="Times New Roman" w:cs="Calibri"/>
                <w:color w:val="000000"/>
                <w:sz w:val="22"/>
              </w:rPr>
              <w:t>-III - 1045 MW</w:t>
            </w:r>
          </w:p>
        </w:tc>
        <w:tc>
          <w:tcPr>
            <w:tcW w:w="918"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2289</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 xml:space="preserve">NHPC CPSU </w:t>
            </w:r>
            <w:proofErr w:type="spellStart"/>
            <w:r w:rsidRPr="002313EB">
              <w:rPr>
                <w:rFonts w:eastAsia="Times New Roman" w:cs="Calibri"/>
                <w:color w:val="000000"/>
                <w:sz w:val="22"/>
              </w:rPr>
              <w:t>Tr</w:t>
            </w:r>
            <w:proofErr w:type="spellEnd"/>
            <w:r w:rsidRPr="002313EB">
              <w:rPr>
                <w:rFonts w:eastAsia="Times New Roman" w:cs="Calibri"/>
                <w:color w:val="000000"/>
                <w:sz w:val="22"/>
              </w:rPr>
              <w:t>-III - 500 MW</w:t>
            </w:r>
          </w:p>
        </w:tc>
        <w:tc>
          <w:tcPr>
            <w:tcW w:w="918"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1095</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rPr>
                <w:rFonts w:eastAsia="Times New Roman" w:cs="Calibri"/>
                <w:color w:val="000000"/>
                <w:sz w:val="22"/>
              </w:rPr>
            </w:pPr>
            <w:r w:rsidRPr="002313EB">
              <w:rPr>
                <w:rFonts w:eastAsia="Times New Roman" w:cs="Calibri"/>
                <w:color w:val="000000"/>
                <w:sz w:val="22"/>
              </w:rPr>
              <w:t xml:space="preserve">SECI ISTS </w:t>
            </w:r>
            <w:proofErr w:type="spellStart"/>
            <w:r w:rsidRPr="002313EB">
              <w:rPr>
                <w:rFonts w:eastAsia="Times New Roman" w:cs="Calibri"/>
                <w:color w:val="000000"/>
                <w:sz w:val="22"/>
              </w:rPr>
              <w:t>Tr</w:t>
            </w:r>
            <w:proofErr w:type="spellEnd"/>
            <w:r w:rsidRPr="002313EB">
              <w:rPr>
                <w:rFonts w:eastAsia="Times New Roman" w:cs="Calibri"/>
                <w:color w:val="000000"/>
                <w:sz w:val="22"/>
              </w:rPr>
              <w:t>-IX - 1000 MW</w:t>
            </w:r>
          </w:p>
        </w:tc>
        <w:tc>
          <w:tcPr>
            <w:tcW w:w="918"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c>
          <w:tcPr>
            <w:tcW w:w="919" w:type="dxa"/>
            <w:tcBorders>
              <w:top w:val="nil"/>
              <w:left w:val="nil"/>
              <w:bottom w:val="single" w:sz="4" w:space="0" w:color="auto"/>
              <w:right w:val="single" w:sz="4" w:space="0" w:color="auto"/>
            </w:tcBorders>
            <w:shd w:val="clear" w:color="auto" w:fill="auto"/>
            <w:noWrap/>
            <w:vAlign w:val="center"/>
            <w:hideMark/>
          </w:tcPr>
          <w:p w:rsidR="00572DAB" w:rsidRPr="002313EB" w:rsidRDefault="00572DAB" w:rsidP="008B76BE">
            <w:pPr>
              <w:spacing w:after="0" w:line="240" w:lineRule="auto"/>
              <w:jc w:val="center"/>
              <w:rPr>
                <w:rFonts w:eastAsia="Times New Roman" w:cs="Calibri"/>
                <w:color w:val="000000"/>
                <w:sz w:val="22"/>
              </w:rPr>
            </w:pPr>
            <w:r>
              <w:rPr>
                <w:rFonts w:cs="Calibri"/>
                <w:color w:val="000000"/>
                <w:sz w:val="22"/>
              </w:rPr>
              <w:t>2190</w:t>
            </w:r>
          </w:p>
        </w:tc>
      </w:tr>
      <w:tr w:rsidR="00572DAB" w:rsidRPr="002313EB" w:rsidTr="008B76BE">
        <w:trPr>
          <w:trHeight w:val="20"/>
        </w:trPr>
        <w:tc>
          <w:tcPr>
            <w:tcW w:w="1980" w:type="dxa"/>
            <w:tcBorders>
              <w:top w:val="nil"/>
              <w:left w:val="single" w:sz="4" w:space="0" w:color="auto"/>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sidRPr="002313EB">
              <w:rPr>
                <w:rFonts w:eastAsia="Times New Roman" w:cs="Calibri"/>
                <w:b/>
                <w:bCs/>
                <w:color w:val="000000"/>
                <w:sz w:val="22"/>
              </w:rPr>
              <w:t>Total MU addition</w:t>
            </w:r>
          </w:p>
        </w:tc>
        <w:tc>
          <w:tcPr>
            <w:tcW w:w="918"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45684</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51621</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52155</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52155</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52013</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51977</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52155</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52155</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52013</w:t>
            </w:r>
          </w:p>
        </w:tc>
        <w:tc>
          <w:tcPr>
            <w:tcW w:w="919" w:type="dxa"/>
            <w:tcBorders>
              <w:top w:val="nil"/>
              <w:left w:val="nil"/>
              <w:bottom w:val="single" w:sz="4" w:space="0" w:color="auto"/>
              <w:right w:val="single" w:sz="4" w:space="0" w:color="auto"/>
            </w:tcBorders>
            <w:shd w:val="clear" w:color="000000" w:fill="FFC000"/>
            <w:noWrap/>
            <w:vAlign w:val="center"/>
            <w:hideMark/>
          </w:tcPr>
          <w:p w:rsidR="00572DAB" w:rsidRPr="002313EB" w:rsidRDefault="00572DAB" w:rsidP="008B76BE">
            <w:pPr>
              <w:spacing w:after="0" w:line="240" w:lineRule="auto"/>
              <w:jc w:val="center"/>
              <w:rPr>
                <w:rFonts w:eastAsia="Times New Roman" w:cs="Calibri"/>
                <w:b/>
                <w:bCs/>
                <w:color w:val="000000"/>
                <w:sz w:val="22"/>
              </w:rPr>
            </w:pPr>
            <w:r>
              <w:rPr>
                <w:rFonts w:cs="Calibri"/>
                <w:b/>
                <w:bCs/>
                <w:color w:val="000000"/>
                <w:sz w:val="22"/>
              </w:rPr>
              <w:t>52155</w:t>
            </w:r>
          </w:p>
        </w:tc>
      </w:tr>
    </w:tbl>
    <w:p w:rsidR="00572DAB" w:rsidRDefault="00572DAB" w:rsidP="00572DAB">
      <w:pPr>
        <w:jc w:val="both"/>
      </w:pPr>
    </w:p>
    <w:p w:rsidR="00572DAB" w:rsidRDefault="00572DAB" w:rsidP="00572DAB">
      <w:pPr>
        <w:jc w:val="both"/>
      </w:pPr>
      <w:r>
        <w:lastRenderedPageBreak/>
        <w:t xml:space="preserve">However, it is to be noted that in case the commissioning of any of the above stations is delayed it will be having an impact on the energy balance above and accordingly the quantum of surplus in the respective years will come down. It is to be noted that many of the newly constructed power projects are being delayed on account of numerous factors which includes land acquisition. </w:t>
      </w:r>
    </w:p>
    <w:p w:rsidR="00572DAB" w:rsidRDefault="00572DAB" w:rsidP="00572DAB">
      <w:pPr>
        <w:jc w:val="both"/>
      </w:pPr>
      <w:r>
        <w:t>The updated status of commissioning of new generating stations as per the latest status is as follows:</w:t>
      </w: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5"/>
        <w:gridCol w:w="1498"/>
        <w:gridCol w:w="3150"/>
        <w:gridCol w:w="3150"/>
      </w:tblGrid>
      <w:tr w:rsidR="00572DAB" w:rsidRPr="005937DA" w:rsidTr="008B76BE">
        <w:trPr>
          <w:trHeight w:val="218"/>
          <w:tblHeader/>
          <w:jc w:val="center"/>
        </w:trPr>
        <w:tc>
          <w:tcPr>
            <w:tcW w:w="1775" w:type="dxa"/>
            <w:shd w:val="clear" w:color="auto" w:fill="FFD966" w:themeFill="accent4" w:themeFillTint="99"/>
            <w:noWrap/>
            <w:vAlign w:val="bottom"/>
            <w:hideMark/>
          </w:tcPr>
          <w:p w:rsidR="00572DAB" w:rsidRPr="005937DA" w:rsidRDefault="00572DAB" w:rsidP="008B76BE">
            <w:pPr>
              <w:spacing w:after="0" w:line="240" w:lineRule="auto"/>
              <w:rPr>
                <w:rFonts w:eastAsia="Times New Roman" w:cs="Calibri"/>
                <w:b/>
                <w:bCs/>
                <w:color w:val="000000"/>
                <w:sz w:val="22"/>
              </w:rPr>
            </w:pPr>
            <w:r w:rsidRPr="005937DA">
              <w:rPr>
                <w:rFonts w:eastAsia="Times New Roman" w:cs="Calibri"/>
                <w:b/>
                <w:bCs/>
                <w:color w:val="000000"/>
                <w:sz w:val="22"/>
              </w:rPr>
              <w:t>Station</w:t>
            </w:r>
          </w:p>
        </w:tc>
        <w:tc>
          <w:tcPr>
            <w:tcW w:w="1498" w:type="dxa"/>
            <w:shd w:val="clear" w:color="auto" w:fill="FFD966" w:themeFill="accent4" w:themeFillTint="99"/>
            <w:noWrap/>
            <w:vAlign w:val="bottom"/>
            <w:hideMark/>
          </w:tcPr>
          <w:p w:rsidR="00572DAB" w:rsidRPr="005937DA" w:rsidRDefault="00572DAB" w:rsidP="008B76BE">
            <w:pPr>
              <w:spacing w:after="0" w:line="240" w:lineRule="auto"/>
              <w:rPr>
                <w:rFonts w:eastAsia="Times New Roman" w:cs="Calibri"/>
                <w:b/>
                <w:bCs/>
                <w:color w:val="000000"/>
                <w:sz w:val="22"/>
              </w:rPr>
            </w:pPr>
            <w:r w:rsidRPr="005937DA">
              <w:rPr>
                <w:rFonts w:eastAsia="Times New Roman" w:cs="Calibri"/>
                <w:b/>
                <w:bCs/>
                <w:color w:val="000000"/>
                <w:sz w:val="22"/>
              </w:rPr>
              <w:t>Capacity (MW)</w:t>
            </w:r>
          </w:p>
        </w:tc>
        <w:tc>
          <w:tcPr>
            <w:tcW w:w="3150" w:type="dxa"/>
            <w:shd w:val="clear" w:color="auto" w:fill="FFD966" w:themeFill="accent4" w:themeFillTint="99"/>
            <w:noWrap/>
            <w:vAlign w:val="bottom"/>
            <w:hideMark/>
          </w:tcPr>
          <w:p w:rsidR="00572DAB" w:rsidRPr="005937DA" w:rsidRDefault="00572DAB" w:rsidP="008B76BE">
            <w:pPr>
              <w:spacing w:after="0" w:line="240" w:lineRule="auto"/>
              <w:rPr>
                <w:rFonts w:eastAsia="Times New Roman" w:cs="Calibri"/>
                <w:b/>
                <w:bCs/>
                <w:color w:val="000000"/>
                <w:sz w:val="22"/>
              </w:rPr>
            </w:pPr>
            <w:r>
              <w:rPr>
                <w:rFonts w:eastAsia="Times New Roman" w:cs="Calibri"/>
                <w:b/>
                <w:bCs/>
                <w:color w:val="000000"/>
                <w:sz w:val="22"/>
              </w:rPr>
              <w:t>Date of Commissioning considered in Resource Plans</w:t>
            </w:r>
          </w:p>
        </w:tc>
        <w:tc>
          <w:tcPr>
            <w:tcW w:w="3150" w:type="dxa"/>
            <w:shd w:val="clear" w:color="auto" w:fill="FFD966" w:themeFill="accent4" w:themeFillTint="99"/>
          </w:tcPr>
          <w:p w:rsidR="00572DAB" w:rsidRDefault="00572DAB" w:rsidP="008B76BE">
            <w:pPr>
              <w:spacing w:after="0" w:line="240" w:lineRule="auto"/>
              <w:rPr>
                <w:rFonts w:eastAsia="Times New Roman" w:cs="Calibri"/>
                <w:b/>
                <w:bCs/>
                <w:color w:val="000000"/>
                <w:sz w:val="22"/>
              </w:rPr>
            </w:pPr>
            <w:r>
              <w:rPr>
                <w:rFonts w:eastAsia="Times New Roman" w:cs="Calibri"/>
                <w:b/>
                <w:bCs/>
                <w:color w:val="000000"/>
                <w:sz w:val="22"/>
              </w:rPr>
              <w:t xml:space="preserve">Latest status of Commissioning </w:t>
            </w:r>
          </w:p>
        </w:tc>
      </w:tr>
      <w:tr w:rsidR="00572DAB" w:rsidRPr="005937DA" w:rsidTr="008B76BE">
        <w:trPr>
          <w:trHeight w:val="1093"/>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YTPS</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4000</w:t>
            </w:r>
          </w:p>
        </w:tc>
        <w:tc>
          <w:tcPr>
            <w:tcW w:w="3150"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 xml:space="preserve">Unit#1, Dec' 2023, </w:t>
            </w:r>
            <w:r w:rsidRPr="005937DA">
              <w:rPr>
                <w:rFonts w:eastAsia="Times New Roman" w:cs="Calibri"/>
                <w:color w:val="000000"/>
                <w:sz w:val="22"/>
              </w:rPr>
              <w:br/>
              <w:t xml:space="preserve">Unit#2, Mar' 2024, </w:t>
            </w:r>
            <w:r w:rsidRPr="005937DA">
              <w:rPr>
                <w:rFonts w:eastAsia="Times New Roman" w:cs="Calibri"/>
                <w:color w:val="000000"/>
                <w:sz w:val="22"/>
              </w:rPr>
              <w:br/>
              <w:t xml:space="preserve">Unit#3, May' 2024, </w:t>
            </w:r>
            <w:r w:rsidRPr="005937DA">
              <w:rPr>
                <w:rFonts w:eastAsia="Times New Roman" w:cs="Calibri"/>
                <w:color w:val="000000"/>
                <w:sz w:val="22"/>
              </w:rPr>
              <w:br/>
              <w:t xml:space="preserve">Unit#4, July' 2024, </w:t>
            </w:r>
            <w:r w:rsidRPr="005937DA">
              <w:rPr>
                <w:rFonts w:eastAsia="Times New Roman" w:cs="Calibri"/>
                <w:color w:val="000000"/>
                <w:sz w:val="22"/>
              </w:rPr>
              <w:br/>
              <w:t>Unit#5, Sept' 2024.</w:t>
            </w:r>
          </w:p>
        </w:tc>
        <w:tc>
          <w:tcPr>
            <w:tcW w:w="3150" w:type="dxa"/>
            <w:vAlign w:val="center"/>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 xml:space="preserve">Unit#1, Dec' 2023, </w:t>
            </w:r>
            <w:r w:rsidRPr="005937DA">
              <w:rPr>
                <w:rFonts w:eastAsia="Times New Roman" w:cs="Calibri"/>
                <w:color w:val="000000"/>
                <w:sz w:val="22"/>
              </w:rPr>
              <w:br/>
              <w:t xml:space="preserve">Unit#2, </w:t>
            </w:r>
            <w:r>
              <w:rPr>
                <w:rFonts w:eastAsia="Times New Roman" w:cs="Calibri"/>
                <w:color w:val="000000"/>
                <w:sz w:val="22"/>
              </w:rPr>
              <w:t>Dec</w:t>
            </w:r>
            <w:r w:rsidRPr="005937DA">
              <w:rPr>
                <w:rFonts w:eastAsia="Times New Roman" w:cs="Calibri"/>
                <w:color w:val="000000"/>
                <w:sz w:val="22"/>
              </w:rPr>
              <w:t>' 202</w:t>
            </w:r>
            <w:r>
              <w:rPr>
                <w:rFonts w:eastAsia="Times New Roman" w:cs="Calibri"/>
                <w:color w:val="000000"/>
                <w:sz w:val="22"/>
              </w:rPr>
              <w:t>3</w:t>
            </w:r>
            <w:r w:rsidRPr="005937DA">
              <w:rPr>
                <w:rFonts w:eastAsia="Times New Roman" w:cs="Calibri"/>
                <w:color w:val="000000"/>
                <w:sz w:val="22"/>
              </w:rPr>
              <w:t xml:space="preserve">, </w:t>
            </w:r>
            <w:r w:rsidRPr="005937DA">
              <w:rPr>
                <w:rFonts w:eastAsia="Times New Roman" w:cs="Calibri"/>
                <w:color w:val="000000"/>
                <w:sz w:val="22"/>
              </w:rPr>
              <w:br/>
              <w:t xml:space="preserve">Unit#3, </w:t>
            </w:r>
            <w:r>
              <w:rPr>
                <w:rFonts w:eastAsia="Times New Roman" w:cs="Calibri"/>
                <w:color w:val="000000"/>
                <w:sz w:val="22"/>
              </w:rPr>
              <w:t>Oct</w:t>
            </w:r>
            <w:r w:rsidRPr="005937DA">
              <w:rPr>
                <w:rFonts w:eastAsia="Times New Roman" w:cs="Calibri"/>
                <w:color w:val="000000"/>
                <w:sz w:val="22"/>
              </w:rPr>
              <w:t xml:space="preserve">' 2024, </w:t>
            </w:r>
            <w:r w:rsidRPr="005937DA">
              <w:rPr>
                <w:rFonts w:eastAsia="Times New Roman" w:cs="Calibri"/>
                <w:color w:val="000000"/>
                <w:sz w:val="22"/>
              </w:rPr>
              <w:br/>
              <w:t xml:space="preserve">Unit#4, </w:t>
            </w:r>
            <w:r>
              <w:rPr>
                <w:rFonts w:eastAsia="Times New Roman" w:cs="Calibri"/>
                <w:color w:val="000000"/>
                <w:sz w:val="22"/>
              </w:rPr>
              <w:t>Sept</w:t>
            </w:r>
            <w:r w:rsidRPr="005937DA">
              <w:rPr>
                <w:rFonts w:eastAsia="Times New Roman" w:cs="Calibri"/>
                <w:color w:val="000000"/>
                <w:sz w:val="22"/>
              </w:rPr>
              <w:t xml:space="preserve">' 2024, </w:t>
            </w:r>
            <w:r w:rsidRPr="005937DA">
              <w:rPr>
                <w:rFonts w:eastAsia="Times New Roman" w:cs="Calibri"/>
                <w:color w:val="000000"/>
                <w:sz w:val="22"/>
              </w:rPr>
              <w:br/>
              <w:t xml:space="preserve">Unit#5, </w:t>
            </w:r>
            <w:r>
              <w:rPr>
                <w:rFonts w:eastAsia="Times New Roman" w:cs="Calibri"/>
                <w:color w:val="000000"/>
                <w:sz w:val="22"/>
              </w:rPr>
              <w:t>Dec</w:t>
            </w:r>
            <w:r w:rsidRPr="005937DA">
              <w:rPr>
                <w:rFonts w:eastAsia="Times New Roman" w:cs="Calibri"/>
                <w:color w:val="000000"/>
                <w:sz w:val="22"/>
              </w:rPr>
              <w:t>' 2024.</w:t>
            </w:r>
            <w:r>
              <w:rPr>
                <w:rFonts w:eastAsia="Times New Roman" w:cs="Calibri"/>
                <w:color w:val="000000"/>
                <w:sz w:val="22"/>
              </w:rPr>
              <w:t xml:space="preserve"> (As received from CE, Thermal Projects Construction, TS </w:t>
            </w:r>
            <w:proofErr w:type="spellStart"/>
            <w:r>
              <w:rPr>
                <w:rFonts w:eastAsia="Times New Roman" w:cs="Calibri"/>
                <w:color w:val="000000"/>
                <w:sz w:val="22"/>
              </w:rPr>
              <w:t>Genco</w:t>
            </w:r>
            <w:proofErr w:type="spellEnd"/>
            <w:r>
              <w:rPr>
                <w:rFonts w:eastAsia="Times New Roman" w:cs="Calibri"/>
                <w:color w:val="000000"/>
                <w:sz w:val="22"/>
              </w:rPr>
              <w:t xml:space="preserve"> </w:t>
            </w:r>
            <w:proofErr w:type="spellStart"/>
            <w:r>
              <w:rPr>
                <w:rFonts w:eastAsia="Times New Roman" w:cs="Calibri"/>
                <w:color w:val="000000"/>
                <w:sz w:val="22"/>
              </w:rPr>
              <w:t>dt</w:t>
            </w:r>
            <w:proofErr w:type="spellEnd"/>
            <w:r>
              <w:rPr>
                <w:rFonts w:eastAsia="Times New Roman" w:cs="Calibri"/>
                <w:color w:val="000000"/>
                <w:sz w:val="22"/>
              </w:rPr>
              <w:t>. 08.06.2023)</w:t>
            </w:r>
          </w:p>
        </w:tc>
      </w:tr>
      <w:tr w:rsidR="00572DAB" w:rsidRPr="005937DA" w:rsidTr="008B76BE">
        <w:trPr>
          <w:trHeight w:val="436"/>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proofErr w:type="spellStart"/>
            <w:r w:rsidRPr="005937DA">
              <w:rPr>
                <w:rFonts w:eastAsia="Times New Roman" w:cs="Calibri"/>
                <w:color w:val="000000"/>
                <w:sz w:val="22"/>
              </w:rPr>
              <w:t>Telangana</w:t>
            </w:r>
            <w:proofErr w:type="spellEnd"/>
            <w:r w:rsidRPr="005937DA">
              <w:rPr>
                <w:rFonts w:eastAsia="Times New Roman" w:cs="Calibri"/>
                <w:color w:val="000000"/>
                <w:sz w:val="22"/>
              </w:rPr>
              <w:t xml:space="preserve"> STPP</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1360</w:t>
            </w:r>
          </w:p>
        </w:tc>
        <w:tc>
          <w:tcPr>
            <w:tcW w:w="3150"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Unit-I Apr-23</w:t>
            </w:r>
            <w:r w:rsidRPr="005937DA">
              <w:rPr>
                <w:rFonts w:eastAsia="Times New Roman" w:cs="Calibri"/>
                <w:color w:val="000000"/>
                <w:sz w:val="22"/>
              </w:rPr>
              <w:br/>
              <w:t>Unit-II Jun-23</w:t>
            </w:r>
          </w:p>
        </w:tc>
        <w:tc>
          <w:tcPr>
            <w:tcW w:w="3150" w:type="dxa"/>
            <w:vAlign w:val="center"/>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 xml:space="preserve">Unit-I </w:t>
            </w:r>
            <w:r>
              <w:rPr>
                <w:rFonts w:eastAsia="Times New Roman" w:cs="Calibri"/>
                <w:color w:val="000000"/>
                <w:sz w:val="22"/>
              </w:rPr>
              <w:t>Sept</w:t>
            </w:r>
            <w:r w:rsidRPr="005937DA">
              <w:rPr>
                <w:rFonts w:eastAsia="Times New Roman" w:cs="Calibri"/>
                <w:color w:val="000000"/>
                <w:sz w:val="22"/>
              </w:rPr>
              <w:t>-23</w:t>
            </w:r>
            <w:r w:rsidRPr="005937DA">
              <w:rPr>
                <w:rFonts w:eastAsia="Times New Roman" w:cs="Calibri"/>
                <w:color w:val="000000"/>
                <w:sz w:val="22"/>
              </w:rPr>
              <w:br/>
              <w:t xml:space="preserve">Unit-II </w:t>
            </w:r>
            <w:r>
              <w:rPr>
                <w:rFonts w:eastAsia="Times New Roman" w:cs="Calibri"/>
                <w:color w:val="000000"/>
                <w:sz w:val="22"/>
              </w:rPr>
              <w:t>Nov</w:t>
            </w:r>
            <w:r w:rsidRPr="005937DA">
              <w:rPr>
                <w:rFonts w:eastAsia="Times New Roman" w:cs="Calibri"/>
                <w:color w:val="000000"/>
                <w:sz w:val="22"/>
              </w:rPr>
              <w:t>-23</w:t>
            </w:r>
            <w:r>
              <w:rPr>
                <w:rFonts w:eastAsia="Times New Roman" w:cs="Calibri"/>
                <w:color w:val="000000"/>
                <w:sz w:val="22"/>
              </w:rPr>
              <w:t xml:space="preserve"> (Retained the gap between stations as two months considering original submission in Resource Plan)</w:t>
            </w:r>
          </w:p>
        </w:tc>
      </w:tr>
      <w:tr w:rsidR="00572DAB" w:rsidRPr="005937DA" w:rsidTr="008B76BE">
        <w:trPr>
          <w:trHeight w:val="436"/>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SECI 400 MW</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130</w:t>
            </w:r>
          </w:p>
        </w:tc>
        <w:tc>
          <w:tcPr>
            <w:tcW w:w="3150"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270 MW is already Commissioned</w:t>
            </w:r>
            <w:r w:rsidRPr="005937DA">
              <w:rPr>
                <w:rFonts w:eastAsia="Times New Roman" w:cs="Calibri"/>
                <w:color w:val="000000"/>
                <w:sz w:val="22"/>
              </w:rPr>
              <w:br/>
              <w:t>Balance 130 MW - Apr'23</w:t>
            </w:r>
          </w:p>
        </w:tc>
        <w:tc>
          <w:tcPr>
            <w:tcW w:w="3150" w:type="dxa"/>
            <w:vAlign w:val="center"/>
          </w:tcPr>
          <w:p w:rsidR="00572DAB" w:rsidRPr="005937DA" w:rsidRDefault="00572DAB" w:rsidP="008B76BE">
            <w:pPr>
              <w:spacing w:after="0" w:line="240" w:lineRule="auto"/>
              <w:rPr>
                <w:rFonts w:eastAsia="Times New Roman" w:cs="Calibri"/>
                <w:color w:val="000000"/>
                <w:sz w:val="22"/>
              </w:rPr>
            </w:pPr>
            <w:r>
              <w:rPr>
                <w:rFonts w:eastAsia="Times New Roman" w:cs="Calibri"/>
                <w:color w:val="000000"/>
                <w:sz w:val="22"/>
              </w:rPr>
              <w:t xml:space="preserve">Total Capacity Commissioned </w:t>
            </w:r>
          </w:p>
        </w:tc>
      </w:tr>
      <w:tr w:rsidR="00572DAB" w:rsidRPr="005937DA" w:rsidTr="008B76BE">
        <w:trPr>
          <w:trHeight w:val="218"/>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SECI 1000 MW</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1000</w:t>
            </w:r>
          </w:p>
        </w:tc>
        <w:tc>
          <w:tcPr>
            <w:tcW w:w="3150"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1000 MW - Oct'23</w:t>
            </w:r>
          </w:p>
        </w:tc>
        <w:tc>
          <w:tcPr>
            <w:tcW w:w="3150" w:type="dxa"/>
            <w:vAlign w:val="center"/>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 xml:space="preserve">1000 MW - </w:t>
            </w:r>
            <w:r>
              <w:rPr>
                <w:rFonts w:eastAsia="Times New Roman" w:cs="Calibri"/>
                <w:color w:val="000000"/>
                <w:sz w:val="22"/>
              </w:rPr>
              <w:t>May</w:t>
            </w:r>
            <w:r w:rsidRPr="005937DA">
              <w:rPr>
                <w:rFonts w:eastAsia="Times New Roman" w:cs="Calibri"/>
                <w:color w:val="000000"/>
                <w:sz w:val="22"/>
              </w:rPr>
              <w:t>'2</w:t>
            </w:r>
            <w:r>
              <w:rPr>
                <w:rFonts w:eastAsia="Times New Roman" w:cs="Calibri"/>
                <w:color w:val="000000"/>
                <w:sz w:val="22"/>
              </w:rPr>
              <w:t>4</w:t>
            </w:r>
          </w:p>
        </w:tc>
      </w:tr>
      <w:tr w:rsidR="00572DAB" w:rsidRPr="005937DA" w:rsidTr="008B76BE">
        <w:trPr>
          <w:trHeight w:val="1093"/>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NTPC CPSU 1692 MW</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260</w:t>
            </w:r>
          </w:p>
        </w:tc>
        <w:tc>
          <w:tcPr>
            <w:tcW w:w="3150"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1432 MW is already Commissioned</w:t>
            </w:r>
            <w:r w:rsidRPr="005937DA">
              <w:rPr>
                <w:rFonts w:eastAsia="Times New Roman" w:cs="Calibri"/>
                <w:color w:val="000000"/>
                <w:sz w:val="22"/>
              </w:rPr>
              <w:br/>
              <w:t>Balance:</w:t>
            </w:r>
            <w:r w:rsidRPr="005937DA">
              <w:rPr>
                <w:rFonts w:eastAsia="Times New Roman" w:cs="Calibri"/>
                <w:color w:val="000000"/>
                <w:sz w:val="22"/>
              </w:rPr>
              <w:br/>
              <w:t>100 MW - Mar'23</w:t>
            </w:r>
            <w:r w:rsidRPr="005937DA">
              <w:rPr>
                <w:rFonts w:eastAsia="Times New Roman" w:cs="Calibri"/>
                <w:color w:val="000000"/>
                <w:sz w:val="22"/>
              </w:rPr>
              <w:br/>
              <w:t>10 MW - Apr'23</w:t>
            </w:r>
            <w:r w:rsidRPr="005937DA">
              <w:rPr>
                <w:rFonts w:eastAsia="Times New Roman" w:cs="Calibri"/>
                <w:color w:val="000000"/>
                <w:sz w:val="22"/>
              </w:rPr>
              <w:br/>
              <w:t>150 MW - Mar'24</w:t>
            </w:r>
          </w:p>
        </w:tc>
        <w:tc>
          <w:tcPr>
            <w:tcW w:w="3150" w:type="dxa"/>
            <w:vAlign w:val="center"/>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1</w:t>
            </w:r>
            <w:r>
              <w:rPr>
                <w:rFonts w:eastAsia="Times New Roman" w:cs="Calibri"/>
                <w:color w:val="000000"/>
                <w:sz w:val="22"/>
              </w:rPr>
              <w:t>54</w:t>
            </w:r>
            <w:r w:rsidRPr="005937DA">
              <w:rPr>
                <w:rFonts w:eastAsia="Times New Roman" w:cs="Calibri"/>
                <w:color w:val="000000"/>
                <w:sz w:val="22"/>
              </w:rPr>
              <w:t>2 MW is already Commissioned</w:t>
            </w:r>
            <w:r w:rsidRPr="005937DA">
              <w:rPr>
                <w:rFonts w:eastAsia="Times New Roman" w:cs="Calibri"/>
                <w:color w:val="000000"/>
                <w:sz w:val="22"/>
              </w:rPr>
              <w:br/>
              <w:t>Balance:</w:t>
            </w:r>
            <w:r w:rsidRPr="005937DA">
              <w:rPr>
                <w:rFonts w:eastAsia="Times New Roman" w:cs="Calibri"/>
                <w:color w:val="000000"/>
                <w:sz w:val="22"/>
              </w:rPr>
              <w:br/>
              <w:t>150 MW - Mar'24</w:t>
            </w:r>
          </w:p>
        </w:tc>
      </w:tr>
      <w:tr w:rsidR="00572DAB" w:rsidRPr="005937DA" w:rsidTr="008B76BE">
        <w:trPr>
          <w:trHeight w:val="436"/>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NTPC CPSU 1045 MW</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1045</w:t>
            </w:r>
          </w:p>
        </w:tc>
        <w:tc>
          <w:tcPr>
            <w:tcW w:w="3150"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735 MW - Nov'23</w:t>
            </w:r>
            <w:r w:rsidRPr="005937DA">
              <w:rPr>
                <w:rFonts w:eastAsia="Times New Roman" w:cs="Calibri"/>
                <w:color w:val="000000"/>
                <w:sz w:val="22"/>
              </w:rPr>
              <w:br/>
              <w:t>310 MW - Apr'24</w:t>
            </w:r>
          </w:p>
        </w:tc>
        <w:tc>
          <w:tcPr>
            <w:tcW w:w="3150" w:type="dxa"/>
            <w:vAlign w:val="center"/>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735 MW - Nov'23</w:t>
            </w:r>
            <w:r w:rsidRPr="005937DA">
              <w:rPr>
                <w:rFonts w:eastAsia="Times New Roman" w:cs="Calibri"/>
                <w:color w:val="000000"/>
                <w:sz w:val="22"/>
              </w:rPr>
              <w:br/>
              <w:t xml:space="preserve">310 MW - </w:t>
            </w:r>
            <w:r>
              <w:rPr>
                <w:rFonts w:eastAsia="Times New Roman" w:cs="Calibri"/>
                <w:color w:val="000000"/>
                <w:sz w:val="22"/>
              </w:rPr>
              <w:t>Sep</w:t>
            </w:r>
            <w:r w:rsidRPr="005937DA">
              <w:rPr>
                <w:rFonts w:eastAsia="Times New Roman" w:cs="Calibri"/>
                <w:color w:val="000000"/>
                <w:sz w:val="22"/>
              </w:rPr>
              <w:t>'24</w:t>
            </w:r>
          </w:p>
        </w:tc>
      </w:tr>
      <w:tr w:rsidR="00572DAB" w:rsidRPr="005937DA" w:rsidTr="008B76BE">
        <w:trPr>
          <w:trHeight w:val="218"/>
          <w:jc w:val="center"/>
        </w:trPr>
        <w:tc>
          <w:tcPr>
            <w:tcW w:w="1775" w:type="dxa"/>
            <w:shd w:val="clear" w:color="auto" w:fill="auto"/>
            <w:noWrap/>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NHPC CPSU 500 MW</w:t>
            </w:r>
          </w:p>
        </w:tc>
        <w:tc>
          <w:tcPr>
            <w:tcW w:w="1498" w:type="dxa"/>
            <w:shd w:val="clear" w:color="auto" w:fill="auto"/>
            <w:noWrap/>
            <w:vAlign w:val="center"/>
            <w:hideMark/>
          </w:tcPr>
          <w:p w:rsidR="00572DAB" w:rsidRPr="005937DA" w:rsidRDefault="00572DAB" w:rsidP="008B76BE">
            <w:pPr>
              <w:spacing w:after="0" w:line="240" w:lineRule="auto"/>
              <w:jc w:val="center"/>
              <w:rPr>
                <w:rFonts w:eastAsia="Times New Roman" w:cs="Calibri"/>
                <w:color w:val="000000"/>
                <w:sz w:val="22"/>
              </w:rPr>
            </w:pPr>
            <w:r w:rsidRPr="005937DA">
              <w:rPr>
                <w:rFonts w:eastAsia="Times New Roman" w:cs="Calibri"/>
                <w:color w:val="000000"/>
                <w:sz w:val="22"/>
              </w:rPr>
              <w:t>500</w:t>
            </w:r>
          </w:p>
        </w:tc>
        <w:tc>
          <w:tcPr>
            <w:tcW w:w="3150" w:type="dxa"/>
            <w:shd w:val="clear" w:color="auto" w:fill="auto"/>
            <w:vAlign w:val="center"/>
            <w:hideMark/>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500 MW - Apr'24</w:t>
            </w:r>
          </w:p>
        </w:tc>
        <w:tc>
          <w:tcPr>
            <w:tcW w:w="3150" w:type="dxa"/>
            <w:vAlign w:val="center"/>
          </w:tcPr>
          <w:p w:rsidR="00572DAB" w:rsidRPr="005937DA" w:rsidRDefault="00572DAB" w:rsidP="008B76BE">
            <w:pPr>
              <w:spacing w:after="0" w:line="240" w:lineRule="auto"/>
              <w:rPr>
                <w:rFonts w:eastAsia="Times New Roman" w:cs="Calibri"/>
                <w:color w:val="000000"/>
                <w:sz w:val="22"/>
              </w:rPr>
            </w:pPr>
            <w:r w:rsidRPr="005937DA">
              <w:rPr>
                <w:rFonts w:eastAsia="Times New Roman" w:cs="Calibri"/>
                <w:color w:val="000000"/>
                <w:sz w:val="22"/>
              </w:rPr>
              <w:t>500 MW - Apr'24</w:t>
            </w:r>
          </w:p>
        </w:tc>
      </w:tr>
    </w:tbl>
    <w:p w:rsidR="00572DAB" w:rsidRDefault="00572DAB" w:rsidP="00572DAB">
      <w:pPr>
        <w:jc w:val="both"/>
      </w:pPr>
    </w:p>
    <w:p w:rsidR="00572DAB" w:rsidRDefault="00572DAB" w:rsidP="00572DAB">
      <w:pPr>
        <w:jc w:val="both"/>
      </w:pPr>
      <w:r>
        <w:t>Analysis of delay in commissioning of the new generating stations/units and their impact on the energy balance of the State is as follows:</w:t>
      </w:r>
    </w:p>
    <w:p w:rsidR="00572DAB" w:rsidRDefault="00572DAB" w:rsidP="00572DAB">
      <w:pPr>
        <w:pStyle w:val="Caption"/>
      </w:pPr>
      <w:r>
        <w:t xml:space="preserve">Table </w:t>
      </w:r>
      <w:r w:rsidR="008737D4">
        <w:fldChar w:fldCharType="begin"/>
      </w:r>
      <w:r>
        <w:instrText xml:space="preserve"> SEQ Table \* ARABIC </w:instrText>
      </w:r>
      <w:r w:rsidR="008737D4">
        <w:fldChar w:fldCharType="separate"/>
      </w:r>
      <w:r w:rsidR="00D41256">
        <w:rPr>
          <w:noProof/>
        </w:rPr>
        <w:t>9</w:t>
      </w:r>
      <w:r w:rsidR="008737D4">
        <w:rPr>
          <w:noProof/>
        </w:rPr>
        <w:fldChar w:fldCharType="end"/>
      </w:r>
      <w:r>
        <w:t xml:space="preserve">  Impact of delay in Commissioning of new Generating Stations with availability as submitted in Resource Plan (based on Normative PLF)</w:t>
      </w:r>
    </w:p>
    <w:tbl>
      <w:tblPr>
        <w:tblW w:w="10906" w:type="dxa"/>
        <w:tblInd w:w="-545" w:type="dxa"/>
        <w:tblLayout w:type="fixed"/>
        <w:tblLook w:val="04A0"/>
      </w:tblPr>
      <w:tblGrid>
        <w:gridCol w:w="1763"/>
        <w:gridCol w:w="914"/>
        <w:gridCol w:w="914"/>
        <w:gridCol w:w="914"/>
        <w:gridCol w:w="914"/>
        <w:gridCol w:w="915"/>
        <w:gridCol w:w="914"/>
        <w:gridCol w:w="914"/>
        <w:gridCol w:w="914"/>
        <w:gridCol w:w="914"/>
        <w:gridCol w:w="916"/>
      </w:tblGrid>
      <w:tr w:rsidR="00572DAB" w:rsidRPr="00CC262D" w:rsidTr="00980D4E">
        <w:trPr>
          <w:trHeight w:val="218"/>
          <w:tblHeader/>
        </w:trPr>
        <w:tc>
          <w:tcPr>
            <w:tcW w:w="1763" w:type="dxa"/>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Particular</w:t>
            </w:r>
          </w:p>
        </w:tc>
        <w:tc>
          <w:tcPr>
            <w:tcW w:w="9143" w:type="dxa"/>
            <w:gridSpan w:val="10"/>
            <w:tcBorders>
              <w:top w:val="single" w:sz="4" w:space="0" w:color="auto"/>
              <w:left w:val="nil"/>
              <w:bottom w:val="single" w:sz="4" w:space="0" w:color="auto"/>
              <w:right w:val="single" w:sz="4" w:space="0" w:color="auto"/>
            </w:tcBorders>
            <w:shd w:val="clear" w:color="000000" w:fill="FF89FF"/>
            <w:noWrap/>
            <w:vAlign w:val="bottom"/>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asciiTheme="minorHAnsi" w:eastAsia="Times New Roman" w:hAnsiTheme="minorHAnsi" w:cstheme="minorHAnsi"/>
                <w:b/>
                <w:bCs/>
                <w:color w:val="000000"/>
                <w:sz w:val="22"/>
              </w:rPr>
              <w:t xml:space="preserve">Impact of </w:t>
            </w:r>
            <w:r w:rsidRPr="00CC262D">
              <w:rPr>
                <w:rFonts w:asciiTheme="minorHAnsi" w:eastAsia="Times New Roman" w:hAnsiTheme="minorHAnsi" w:cstheme="minorHAnsi"/>
                <w:b/>
                <w:bCs/>
                <w:color w:val="000000"/>
                <w:sz w:val="22"/>
              </w:rPr>
              <w:t xml:space="preserve">Energy Balance in </w:t>
            </w:r>
            <w:proofErr w:type="spellStart"/>
            <w:r w:rsidRPr="00CC262D">
              <w:rPr>
                <w:rFonts w:asciiTheme="minorHAnsi" w:eastAsia="Times New Roman" w:hAnsiTheme="minorHAnsi" w:cstheme="minorHAnsi"/>
                <w:b/>
                <w:bCs/>
                <w:color w:val="000000"/>
                <w:sz w:val="22"/>
              </w:rPr>
              <w:t>Telangana</w:t>
            </w:r>
            <w:proofErr w:type="spellEnd"/>
            <w:r w:rsidRPr="00CC262D">
              <w:rPr>
                <w:rFonts w:asciiTheme="minorHAnsi" w:eastAsia="Times New Roman" w:hAnsiTheme="minorHAnsi" w:cstheme="minorHAnsi"/>
                <w:b/>
                <w:bCs/>
                <w:color w:val="000000"/>
                <w:sz w:val="22"/>
              </w:rPr>
              <w:t xml:space="preserve"> State</w:t>
            </w:r>
          </w:p>
        </w:tc>
      </w:tr>
      <w:tr w:rsidR="00572DAB" w:rsidRPr="00CC262D" w:rsidTr="00980D4E">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572DAB" w:rsidRPr="00CC262D" w:rsidRDefault="00572DAB" w:rsidP="008B76BE">
            <w:pPr>
              <w:spacing w:after="0" w:line="240" w:lineRule="auto"/>
              <w:rPr>
                <w:rFonts w:asciiTheme="minorHAnsi" w:eastAsia="Times New Roman" w:hAnsiTheme="minorHAnsi" w:cstheme="minorHAnsi"/>
                <w:b/>
                <w:bCs/>
                <w:color w:val="000000"/>
                <w:sz w:val="22"/>
              </w:rPr>
            </w:pPr>
          </w:p>
        </w:tc>
        <w:tc>
          <w:tcPr>
            <w:tcW w:w="4571" w:type="dxa"/>
            <w:gridSpan w:val="5"/>
            <w:tcBorders>
              <w:top w:val="single" w:sz="4" w:space="0" w:color="auto"/>
              <w:left w:val="nil"/>
              <w:bottom w:val="single" w:sz="4" w:space="0" w:color="auto"/>
              <w:right w:val="single" w:sz="4" w:space="0" w:color="auto"/>
            </w:tcBorders>
            <w:shd w:val="clear" w:color="000000" w:fill="FFF2CC"/>
            <w:noWrap/>
            <w:vAlign w:val="bottom"/>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5th Control Period</w:t>
            </w:r>
          </w:p>
        </w:tc>
        <w:tc>
          <w:tcPr>
            <w:tcW w:w="4572" w:type="dxa"/>
            <w:gridSpan w:val="5"/>
            <w:tcBorders>
              <w:top w:val="single" w:sz="4" w:space="0" w:color="auto"/>
              <w:left w:val="nil"/>
              <w:bottom w:val="single" w:sz="4" w:space="0" w:color="auto"/>
              <w:right w:val="single" w:sz="4" w:space="0" w:color="auto"/>
            </w:tcBorders>
            <w:shd w:val="clear" w:color="000000" w:fill="FCE4D6"/>
            <w:noWrap/>
            <w:vAlign w:val="bottom"/>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6th Control Period</w:t>
            </w:r>
          </w:p>
        </w:tc>
      </w:tr>
      <w:tr w:rsidR="00572DAB" w:rsidRPr="000941B2" w:rsidTr="00980D4E">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572DAB" w:rsidRPr="00CC262D" w:rsidRDefault="00572DAB" w:rsidP="008B76BE">
            <w:pPr>
              <w:spacing w:after="0" w:line="240" w:lineRule="auto"/>
              <w:rPr>
                <w:rFonts w:asciiTheme="minorHAnsi" w:eastAsia="Times New Roman" w:hAnsiTheme="minorHAnsi" w:cstheme="minorHAnsi"/>
                <w:b/>
                <w:bCs/>
                <w:color w:val="000000"/>
                <w:sz w:val="22"/>
              </w:rPr>
            </w:pP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2024-25</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2025-26</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2026-27</w:t>
            </w:r>
          </w:p>
        </w:tc>
        <w:tc>
          <w:tcPr>
            <w:tcW w:w="914"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2027-28</w:t>
            </w:r>
          </w:p>
        </w:tc>
        <w:tc>
          <w:tcPr>
            <w:tcW w:w="915" w:type="dxa"/>
            <w:tcBorders>
              <w:top w:val="nil"/>
              <w:left w:val="nil"/>
              <w:bottom w:val="single" w:sz="4" w:space="0" w:color="auto"/>
              <w:right w:val="single" w:sz="4" w:space="0" w:color="auto"/>
            </w:tcBorders>
            <w:shd w:val="clear" w:color="000000" w:fill="FFF2CC"/>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2028-29</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2029-30</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2030-31</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2031-32</w:t>
            </w:r>
          </w:p>
        </w:tc>
        <w:tc>
          <w:tcPr>
            <w:tcW w:w="914"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2032-33</w:t>
            </w:r>
          </w:p>
        </w:tc>
        <w:tc>
          <w:tcPr>
            <w:tcW w:w="916" w:type="dxa"/>
            <w:tcBorders>
              <w:top w:val="nil"/>
              <w:left w:val="nil"/>
              <w:bottom w:val="single" w:sz="4" w:space="0" w:color="auto"/>
              <w:right w:val="single" w:sz="4" w:space="0" w:color="auto"/>
            </w:tcBorders>
            <w:shd w:val="clear" w:color="000000" w:fill="FCE4D6"/>
            <w:noWrap/>
            <w:vAlign w:val="center"/>
            <w:hideMark/>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2033-34</w:t>
            </w:r>
          </w:p>
        </w:tc>
      </w:tr>
      <w:tr w:rsidR="00572DAB" w:rsidRPr="000941B2" w:rsidTr="00980D4E">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72DAB" w:rsidRPr="00CC262D" w:rsidRDefault="00572DAB" w:rsidP="008B76BE">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Availability</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113113 </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127451 </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127126 </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126658 </w:t>
            </w:r>
          </w:p>
        </w:tc>
        <w:tc>
          <w:tcPr>
            <w:tcW w:w="915"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122090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115424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114555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114608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114601 </w:t>
            </w:r>
          </w:p>
        </w:tc>
        <w:tc>
          <w:tcPr>
            <w:tcW w:w="916"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114657 </w:t>
            </w:r>
          </w:p>
        </w:tc>
      </w:tr>
      <w:tr w:rsidR="00572DAB" w:rsidRPr="000941B2" w:rsidTr="00980D4E">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72DAB" w:rsidRPr="00CC262D" w:rsidRDefault="00572DAB" w:rsidP="008B76BE">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Requirement</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84997 </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89768 </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94774 </w:t>
            </w:r>
          </w:p>
        </w:tc>
        <w:tc>
          <w:tcPr>
            <w:tcW w:w="914"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100285 </w:t>
            </w:r>
          </w:p>
        </w:tc>
        <w:tc>
          <w:tcPr>
            <w:tcW w:w="915" w:type="dxa"/>
            <w:tcBorders>
              <w:top w:val="nil"/>
              <w:left w:val="nil"/>
              <w:bottom w:val="single" w:sz="4" w:space="0" w:color="auto"/>
              <w:right w:val="single" w:sz="4" w:space="0" w:color="auto"/>
            </w:tcBorders>
            <w:shd w:val="clear" w:color="000000" w:fill="FFF2CC"/>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105957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111638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118116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125101 </w:t>
            </w:r>
          </w:p>
        </w:tc>
        <w:tc>
          <w:tcPr>
            <w:tcW w:w="914"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132599 </w:t>
            </w:r>
          </w:p>
        </w:tc>
        <w:tc>
          <w:tcPr>
            <w:tcW w:w="916" w:type="dxa"/>
            <w:tcBorders>
              <w:top w:val="nil"/>
              <w:left w:val="nil"/>
              <w:bottom w:val="single" w:sz="4" w:space="0" w:color="auto"/>
              <w:right w:val="single" w:sz="4" w:space="0" w:color="auto"/>
            </w:tcBorders>
            <w:shd w:val="clear" w:color="000000" w:fill="FCE4D6"/>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140637 </w:t>
            </w:r>
          </w:p>
        </w:tc>
      </w:tr>
      <w:tr w:rsidR="00572DAB" w:rsidRPr="000941B2" w:rsidTr="00980D4E">
        <w:trPr>
          <w:trHeight w:val="218"/>
        </w:trPr>
        <w:tc>
          <w:tcPr>
            <w:tcW w:w="1763" w:type="dxa"/>
            <w:tcBorders>
              <w:top w:val="nil"/>
              <w:left w:val="single" w:sz="4" w:space="0" w:color="auto"/>
              <w:bottom w:val="single" w:sz="4" w:space="0" w:color="auto"/>
              <w:right w:val="single" w:sz="4" w:space="0" w:color="auto"/>
            </w:tcBorders>
            <w:shd w:val="clear" w:color="000000" w:fill="FFC000"/>
            <w:noWrap/>
            <w:vAlign w:val="bottom"/>
            <w:hideMark/>
          </w:tcPr>
          <w:p w:rsidR="00572DAB" w:rsidRPr="00CC262D" w:rsidRDefault="00572DAB" w:rsidP="008B76BE">
            <w:pPr>
              <w:spacing w:after="0" w:line="240" w:lineRule="auto"/>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Surplus/(Deficit)</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28116 </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37683 </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32352 </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26374 </w:t>
            </w:r>
          </w:p>
        </w:tc>
        <w:tc>
          <w:tcPr>
            <w:tcW w:w="915"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16133 </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3786 </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(3561)</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(10493)</w:t>
            </w:r>
          </w:p>
        </w:tc>
        <w:tc>
          <w:tcPr>
            <w:tcW w:w="914"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(17997)</w:t>
            </w:r>
          </w:p>
        </w:tc>
        <w:tc>
          <w:tcPr>
            <w:tcW w:w="916" w:type="dxa"/>
            <w:tcBorders>
              <w:top w:val="nil"/>
              <w:left w:val="nil"/>
              <w:bottom w:val="single" w:sz="4" w:space="0" w:color="auto"/>
              <w:right w:val="single" w:sz="4" w:space="0" w:color="auto"/>
            </w:tcBorders>
            <w:shd w:val="clear" w:color="000000" w:fill="FFC000"/>
            <w:noWrap/>
            <w:vAlign w:val="center"/>
          </w:tcPr>
          <w:p w:rsidR="00572DAB" w:rsidRPr="00CC262D" w:rsidRDefault="00572DAB" w:rsidP="008B76BE">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(25981)</w:t>
            </w:r>
          </w:p>
        </w:tc>
      </w:tr>
      <w:tr w:rsidR="00572DAB" w:rsidRPr="000941B2" w:rsidTr="00980D4E">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572DAB" w:rsidRPr="00CC262D" w:rsidRDefault="00572DAB" w:rsidP="008B76BE">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 of Surplus to Availability</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33%</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42%</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34%</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26%</w:t>
            </w:r>
          </w:p>
        </w:tc>
        <w:tc>
          <w:tcPr>
            <w:tcW w:w="915"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15%</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3%</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-3%</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-8%</w:t>
            </w:r>
          </w:p>
        </w:tc>
        <w:tc>
          <w:tcPr>
            <w:tcW w:w="914"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-14%</w:t>
            </w:r>
          </w:p>
        </w:tc>
        <w:tc>
          <w:tcPr>
            <w:tcW w:w="916" w:type="dxa"/>
            <w:tcBorders>
              <w:top w:val="nil"/>
              <w:left w:val="nil"/>
              <w:bottom w:val="single" w:sz="4" w:space="0" w:color="auto"/>
              <w:right w:val="single" w:sz="4" w:space="0" w:color="auto"/>
            </w:tcBorders>
            <w:shd w:val="clear" w:color="auto" w:fill="auto"/>
            <w:noWrap/>
            <w:vAlign w:val="center"/>
          </w:tcPr>
          <w:p w:rsidR="00572DAB" w:rsidRPr="00CC262D" w:rsidRDefault="00572DAB" w:rsidP="008B76BE">
            <w:pPr>
              <w:spacing w:after="0" w:line="240" w:lineRule="auto"/>
              <w:jc w:val="center"/>
              <w:rPr>
                <w:rFonts w:asciiTheme="minorHAnsi" w:eastAsia="Times New Roman" w:hAnsiTheme="minorHAnsi" w:cstheme="minorHAnsi"/>
                <w:color w:val="000000"/>
                <w:sz w:val="22"/>
              </w:rPr>
            </w:pPr>
            <w:r>
              <w:rPr>
                <w:rFonts w:cs="Calibri"/>
                <w:color w:val="000000"/>
                <w:sz w:val="22"/>
              </w:rPr>
              <w:t>-18%</w:t>
            </w:r>
          </w:p>
        </w:tc>
      </w:tr>
    </w:tbl>
    <w:p w:rsidR="00980D4E" w:rsidRDefault="00980D4E" w:rsidP="00572DAB">
      <w:pPr>
        <w:jc w:val="both"/>
      </w:pPr>
    </w:p>
    <w:p w:rsidR="0041423C" w:rsidRDefault="00A4543F">
      <w:pPr>
        <w:jc w:val="both"/>
      </w:pPr>
      <w:r>
        <w:rPr>
          <w:b/>
        </w:rPr>
        <w:t xml:space="preserve">C) Variation </w:t>
      </w:r>
      <w:r w:rsidRPr="00A4543F">
        <w:rPr>
          <w:b/>
        </w:rPr>
        <w:t>of Actual PLF when compared to Normative</w:t>
      </w:r>
      <w:r w:rsidR="003258BB">
        <w:t>:</w:t>
      </w:r>
    </w:p>
    <w:p w:rsidR="0041423C" w:rsidRDefault="008171B5">
      <w:pPr>
        <w:jc w:val="both"/>
      </w:pPr>
      <w:r>
        <w:t>The projections of Energy availability from individual generating stations</w:t>
      </w:r>
      <w:r w:rsidR="00C364B6">
        <w:t xml:space="preserve"> as shown above</w:t>
      </w:r>
      <w:r>
        <w:t xml:space="preserve"> have been obtained from the respective generating stations which were usually projected based on the installed capacity</w:t>
      </w:r>
      <w:r w:rsidR="0099741C">
        <w:t xml:space="preserve"> and</w:t>
      </w:r>
      <w:r w:rsidR="00C364B6">
        <w:t xml:space="preserve"> Normative</w:t>
      </w:r>
      <w:r>
        <w:t xml:space="preserve"> Plant Availability Factor</w:t>
      </w:r>
      <w:r w:rsidR="0099741C">
        <w:t xml:space="preserve"> (the average of the daily declared capacities (DCs) for all the days during the period expressed as a percentage of the installed capacity in MW less the normative auxiliary energy consumption) </w:t>
      </w:r>
      <w:r>
        <w:t xml:space="preserve">of the plant. However, it is to be noted that the actual PLFs </w:t>
      </w:r>
      <w:r w:rsidR="00C364B6">
        <w:t>(</w:t>
      </w:r>
      <w:r w:rsidR="00C364B6" w:rsidRPr="00C364B6">
        <w:t>the ratio of the actual energy generated by a power plant to the maximum possible energy it could have generated during a given period</w:t>
      </w:r>
      <w:r w:rsidR="00C364B6">
        <w:t xml:space="preserve">) </w:t>
      </w:r>
      <w:r>
        <w:t>of generating stations are usually less than the normative on account of various factors like availability of fuel owing to either external factors or internal factors, lower power demand etc.</w:t>
      </w:r>
    </w:p>
    <w:p w:rsidR="008171B5" w:rsidRDefault="008171B5" w:rsidP="008171B5">
      <w:pPr>
        <w:jc w:val="both"/>
      </w:pPr>
      <w:r>
        <w:t xml:space="preserve">For example, the all India average PLF of Central Generating Stations for Coal &amp; Lignite based Stations for FY 2022-23 is 64.15% (Source: </w:t>
      </w:r>
      <w:hyperlink r:id="rId8" w:history="1">
        <w:r w:rsidRPr="00B22243">
          <w:rPr>
            <w:rStyle w:val="Hyperlink"/>
          </w:rPr>
          <w:t>https://powermin.gov.in/en/content/power-sector-glance-all-india</w:t>
        </w:r>
      </w:hyperlink>
      <w:r>
        <w:t xml:space="preserve">) which is less than the normative Plant Availability Factor </w:t>
      </w:r>
      <w:r w:rsidR="00C364B6">
        <w:t xml:space="preserve">ranging from </w:t>
      </w:r>
      <w:r w:rsidR="00702B25">
        <w:t>72</w:t>
      </w:r>
      <w:r w:rsidR="00C364B6">
        <w:t xml:space="preserve">% to </w:t>
      </w:r>
      <w:r>
        <w:t>85%, it is also to be noted that this lower PLF is not on account of lower demand as in FY 2022-23</w:t>
      </w:r>
      <w:r w:rsidR="00702B25">
        <w:t>, at India level</w:t>
      </w:r>
      <w:r>
        <w:t xml:space="preserve"> there was an energy deficit of 0.5% and peak deficit of 4% (Source: </w:t>
      </w:r>
      <w:hyperlink r:id="rId9" w:history="1">
        <w:r w:rsidRPr="00B22243">
          <w:rPr>
            <w:rStyle w:val="Hyperlink"/>
          </w:rPr>
          <w:t>https://powermin.gov.in/en/content/power-sector-glance-all-india</w:t>
        </w:r>
      </w:hyperlink>
      <w:r>
        <w:t>).</w:t>
      </w:r>
      <w:r w:rsidR="00702B25">
        <w:t xml:space="preserve"> </w:t>
      </w:r>
    </w:p>
    <w:p w:rsidR="00F8491E" w:rsidRDefault="00702B25" w:rsidP="008171B5">
      <w:pPr>
        <w:jc w:val="both"/>
      </w:pPr>
      <w:r>
        <w:t xml:space="preserve">Similarly, </w:t>
      </w:r>
      <w:r w:rsidR="00433AB4">
        <w:t xml:space="preserve">the actual PLFs of </w:t>
      </w:r>
      <w:r>
        <w:t xml:space="preserve">all </w:t>
      </w:r>
      <w:r w:rsidR="00433AB4">
        <w:t>the</w:t>
      </w:r>
      <w:r>
        <w:t xml:space="preserve"> generating sources</w:t>
      </w:r>
      <w:r w:rsidR="00433AB4">
        <w:t xml:space="preserve"> with which the TS </w:t>
      </w:r>
      <w:proofErr w:type="spellStart"/>
      <w:r w:rsidR="00433AB4">
        <w:t>Discoms</w:t>
      </w:r>
      <w:proofErr w:type="spellEnd"/>
      <w:r w:rsidR="00433AB4">
        <w:t xml:space="preserve"> have tied up will be usually less</w:t>
      </w:r>
      <w:r w:rsidR="00FF1C1A">
        <w:t xml:space="preserve"> on account of various reasons</w:t>
      </w:r>
      <w:r w:rsidR="00F8491E">
        <w:t xml:space="preserve">, however for </w:t>
      </w:r>
      <w:r w:rsidR="00FF1C1A">
        <w:t>Hydro</w:t>
      </w:r>
      <w:r w:rsidR="00F8491E">
        <w:t xml:space="preserve"> generating stations</w:t>
      </w:r>
      <w:r w:rsidR="00FF1C1A">
        <w:t xml:space="preserve"> </w:t>
      </w:r>
      <w:r w:rsidR="00F8491E">
        <w:t>the PLF</w:t>
      </w:r>
      <w:r w:rsidR="00FF1C1A">
        <w:t xml:space="preserve"> depends on the monsoon</w:t>
      </w:r>
      <w:r w:rsidR="00120ABC">
        <w:t xml:space="preserve"> </w:t>
      </w:r>
      <w:r>
        <w:t>levels</w:t>
      </w:r>
      <w:r w:rsidR="00F8491E">
        <w:t xml:space="preserve"> and varies accordingly</w:t>
      </w:r>
      <w:r>
        <w:t xml:space="preserve">. </w:t>
      </w:r>
      <w:r w:rsidR="00F8491E">
        <w:t>A snapshot of actual PLFs of all the contracted sources of generating sources is as follows:</w:t>
      </w:r>
    </w:p>
    <w:tbl>
      <w:tblPr>
        <w:tblW w:w="10793" w:type="dxa"/>
        <w:tblInd w:w="-460" w:type="dxa"/>
        <w:tblLook w:val="04A0"/>
      </w:tblPr>
      <w:tblGrid>
        <w:gridCol w:w="1940"/>
        <w:gridCol w:w="941"/>
        <w:gridCol w:w="791"/>
        <w:gridCol w:w="770"/>
        <w:gridCol w:w="783"/>
        <w:gridCol w:w="776"/>
        <w:gridCol w:w="783"/>
        <w:gridCol w:w="770"/>
        <w:gridCol w:w="783"/>
        <w:gridCol w:w="785"/>
        <w:gridCol w:w="886"/>
        <w:gridCol w:w="785"/>
      </w:tblGrid>
      <w:tr w:rsidR="00055920" w:rsidRPr="007C210F" w:rsidTr="00055920">
        <w:trPr>
          <w:trHeight w:val="20"/>
          <w:tblHeader/>
        </w:trPr>
        <w:tc>
          <w:tcPr>
            <w:tcW w:w="1940" w:type="dxa"/>
            <w:vMerge w:val="restart"/>
            <w:tcBorders>
              <w:top w:val="single" w:sz="4" w:space="0" w:color="auto"/>
              <w:left w:val="single" w:sz="8"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2"/>
              </w:rPr>
            </w:pPr>
            <w:r w:rsidRPr="007C210F">
              <w:rPr>
                <w:rFonts w:eastAsia="Times New Roman" w:cs="Calibri"/>
                <w:b/>
                <w:bCs/>
                <w:color w:val="000000"/>
                <w:sz w:val="22"/>
              </w:rPr>
              <w:t>Station</w:t>
            </w:r>
          </w:p>
        </w:tc>
        <w:tc>
          <w:tcPr>
            <w:tcW w:w="941" w:type="dxa"/>
            <w:vMerge w:val="restart"/>
            <w:tcBorders>
              <w:top w:val="single" w:sz="4" w:space="0" w:color="auto"/>
              <w:left w:val="nil"/>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Actual Capacity as on 22-23</w:t>
            </w:r>
          </w:p>
          <w:p w:rsidR="00055920" w:rsidRPr="007C210F" w:rsidRDefault="00055920" w:rsidP="007C210F">
            <w:pPr>
              <w:spacing w:after="0" w:line="240" w:lineRule="auto"/>
              <w:jc w:val="center"/>
              <w:rPr>
                <w:rFonts w:eastAsia="Times New Roman" w:cs="Calibri"/>
                <w:b/>
                <w:bCs/>
                <w:color w:val="000000"/>
                <w:sz w:val="20"/>
                <w:szCs w:val="20"/>
              </w:rPr>
            </w:pPr>
            <w:r>
              <w:rPr>
                <w:rFonts w:eastAsia="Times New Roman" w:cs="Calibri"/>
                <w:b/>
                <w:bCs/>
                <w:color w:val="000000"/>
                <w:sz w:val="20"/>
                <w:szCs w:val="20"/>
              </w:rPr>
              <w:t>(</w:t>
            </w:r>
            <w:r w:rsidRPr="007C210F">
              <w:rPr>
                <w:rFonts w:eastAsia="Times New Roman" w:cs="Calibri"/>
                <w:b/>
                <w:bCs/>
                <w:color w:val="000000"/>
                <w:sz w:val="20"/>
                <w:szCs w:val="20"/>
              </w:rPr>
              <w:t>MW</w:t>
            </w:r>
            <w:r>
              <w:rPr>
                <w:rFonts w:eastAsia="Times New Roman" w:cs="Calibri"/>
                <w:b/>
                <w:bCs/>
                <w:color w:val="000000"/>
                <w:sz w:val="20"/>
                <w:szCs w:val="20"/>
              </w:rPr>
              <w:t>)</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FY 19-20</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FY 20-21</w:t>
            </w:r>
          </w:p>
        </w:tc>
        <w:tc>
          <w:tcPr>
            <w:tcW w:w="1553" w:type="dxa"/>
            <w:gridSpan w:val="2"/>
            <w:tcBorders>
              <w:top w:val="single" w:sz="4" w:space="0" w:color="auto"/>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FY 21-22</w:t>
            </w:r>
          </w:p>
        </w:tc>
        <w:tc>
          <w:tcPr>
            <w:tcW w:w="1568" w:type="dxa"/>
            <w:gridSpan w:val="2"/>
            <w:tcBorders>
              <w:top w:val="single" w:sz="4" w:space="0" w:color="auto"/>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FY 22-23</w:t>
            </w:r>
          </w:p>
        </w:tc>
        <w:tc>
          <w:tcPr>
            <w:tcW w:w="1671" w:type="dxa"/>
            <w:gridSpan w:val="2"/>
            <w:tcBorders>
              <w:top w:val="single" w:sz="4" w:space="0" w:color="auto"/>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FY 19-20 to FY 22-23 (4 Years)</w:t>
            </w:r>
          </w:p>
        </w:tc>
      </w:tr>
      <w:tr w:rsidR="00055920" w:rsidRPr="007C210F" w:rsidTr="00055920">
        <w:trPr>
          <w:trHeight w:val="20"/>
          <w:tblHeader/>
        </w:trPr>
        <w:tc>
          <w:tcPr>
            <w:tcW w:w="1940" w:type="dxa"/>
            <w:vMerge/>
            <w:tcBorders>
              <w:left w:val="single" w:sz="8" w:space="0" w:color="auto"/>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2"/>
              </w:rPr>
            </w:pPr>
          </w:p>
        </w:tc>
        <w:tc>
          <w:tcPr>
            <w:tcW w:w="941" w:type="dxa"/>
            <w:vMerge/>
            <w:tcBorders>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p>
        </w:tc>
        <w:tc>
          <w:tcPr>
            <w:tcW w:w="791"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Energy              (MU)</w:t>
            </w:r>
          </w:p>
        </w:tc>
        <w:tc>
          <w:tcPr>
            <w:tcW w:w="770"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PLF</w:t>
            </w:r>
            <w:r>
              <w:rPr>
                <w:rFonts w:eastAsia="Times New Roman" w:cs="Calibri"/>
                <w:b/>
                <w:bCs/>
                <w:color w:val="000000"/>
                <w:sz w:val="20"/>
                <w:szCs w:val="20"/>
              </w:rPr>
              <w:t xml:space="preserve"> </w:t>
            </w:r>
            <w:r w:rsidRPr="007C210F">
              <w:rPr>
                <w:rFonts w:eastAsia="Times New Roman" w:cs="Calibri"/>
                <w:b/>
                <w:bCs/>
                <w:color w:val="000000"/>
                <w:sz w:val="20"/>
                <w:szCs w:val="20"/>
              </w:rPr>
              <w:t>(%)</w:t>
            </w:r>
          </w:p>
        </w:tc>
        <w:tc>
          <w:tcPr>
            <w:tcW w:w="783"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Energy              (MU)</w:t>
            </w:r>
          </w:p>
        </w:tc>
        <w:tc>
          <w:tcPr>
            <w:tcW w:w="776"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PLF</w:t>
            </w:r>
            <w:r>
              <w:rPr>
                <w:rFonts w:eastAsia="Times New Roman" w:cs="Calibri"/>
                <w:b/>
                <w:bCs/>
                <w:color w:val="000000"/>
                <w:sz w:val="20"/>
                <w:szCs w:val="20"/>
              </w:rPr>
              <w:t xml:space="preserve"> </w:t>
            </w:r>
            <w:r w:rsidRPr="007C210F">
              <w:rPr>
                <w:rFonts w:eastAsia="Times New Roman" w:cs="Calibri"/>
                <w:b/>
                <w:bCs/>
                <w:color w:val="000000"/>
                <w:sz w:val="20"/>
                <w:szCs w:val="20"/>
              </w:rPr>
              <w:t>(%)</w:t>
            </w:r>
          </w:p>
        </w:tc>
        <w:tc>
          <w:tcPr>
            <w:tcW w:w="783"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Energy              (MU)</w:t>
            </w:r>
          </w:p>
        </w:tc>
        <w:tc>
          <w:tcPr>
            <w:tcW w:w="770"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PLF</w:t>
            </w:r>
            <w:r>
              <w:rPr>
                <w:rFonts w:eastAsia="Times New Roman" w:cs="Calibri"/>
                <w:b/>
                <w:bCs/>
                <w:color w:val="000000"/>
                <w:sz w:val="20"/>
                <w:szCs w:val="20"/>
              </w:rPr>
              <w:t xml:space="preserve"> </w:t>
            </w:r>
            <w:r w:rsidRPr="007C210F">
              <w:rPr>
                <w:rFonts w:eastAsia="Times New Roman" w:cs="Calibri"/>
                <w:b/>
                <w:bCs/>
                <w:color w:val="000000"/>
                <w:sz w:val="20"/>
                <w:szCs w:val="20"/>
              </w:rPr>
              <w:t>(%)</w:t>
            </w:r>
          </w:p>
        </w:tc>
        <w:tc>
          <w:tcPr>
            <w:tcW w:w="783"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Energy              (MU)</w:t>
            </w:r>
          </w:p>
        </w:tc>
        <w:tc>
          <w:tcPr>
            <w:tcW w:w="785"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PLF</w:t>
            </w:r>
            <w:r>
              <w:rPr>
                <w:rFonts w:eastAsia="Times New Roman" w:cs="Calibri"/>
                <w:b/>
                <w:bCs/>
                <w:color w:val="000000"/>
                <w:sz w:val="20"/>
                <w:szCs w:val="20"/>
              </w:rPr>
              <w:t xml:space="preserve"> </w:t>
            </w:r>
            <w:r w:rsidRPr="007C210F">
              <w:rPr>
                <w:rFonts w:eastAsia="Times New Roman" w:cs="Calibri"/>
                <w:b/>
                <w:bCs/>
                <w:color w:val="000000"/>
                <w:sz w:val="20"/>
                <w:szCs w:val="20"/>
              </w:rPr>
              <w:t>(%)</w:t>
            </w:r>
          </w:p>
        </w:tc>
        <w:tc>
          <w:tcPr>
            <w:tcW w:w="886"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Pr>
                <w:rFonts w:eastAsia="Times New Roman" w:cs="Calibri"/>
                <w:b/>
                <w:bCs/>
                <w:color w:val="000000"/>
                <w:sz w:val="20"/>
                <w:szCs w:val="20"/>
              </w:rPr>
              <w:t xml:space="preserve">Total </w:t>
            </w:r>
            <w:r w:rsidRPr="007C210F">
              <w:rPr>
                <w:rFonts w:eastAsia="Times New Roman" w:cs="Calibri"/>
                <w:b/>
                <w:bCs/>
                <w:color w:val="000000"/>
                <w:sz w:val="20"/>
                <w:szCs w:val="20"/>
              </w:rPr>
              <w:t>Energy              (MU)</w:t>
            </w:r>
          </w:p>
        </w:tc>
        <w:tc>
          <w:tcPr>
            <w:tcW w:w="785" w:type="dxa"/>
            <w:tcBorders>
              <w:top w:val="nil"/>
              <w:left w:val="nil"/>
              <w:bottom w:val="single" w:sz="4" w:space="0" w:color="auto"/>
              <w:right w:val="single" w:sz="4" w:space="0" w:color="auto"/>
            </w:tcBorders>
            <w:shd w:val="clear" w:color="auto" w:fill="auto"/>
            <w:vAlign w:val="center"/>
            <w:hideMark/>
          </w:tcPr>
          <w:p w:rsidR="00055920" w:rsidRPr="007C210F" w:rsidRDefault="00055920" w:rsidP="007C210F">
            <w:pPr>
              <w:spacing w:after="0" w:line="240" w:lineRule="auto"/>
              <w:jc w:val="center"/>
              <w:rPr>
                <w:rFonts w:eastAsia="Times New Roman" w:cs="Calibri"/>
                <w:b/>
                <w:bCs/>
                <w:color w:val="000000"/>
                <w:sz w:val="20"/>
                <w:szCs w:val="20"/>
              </w:rPr>
            </w:pPr>
            <w:r w:rsidRPr="007C210F">
              <w:rPr>
                <w:rFonts w:eastAsia="Times New Roman" w:cs="Calibri"/>
                <w:b/>
                <w:bCs/>
                <w:color w:val="000000"/>
                <w:sz w:val="20"/>
                <w:szCs w:val="20"/>
              </w:rPr>
              <w:t>AVG PLF</w:t>
            </w:r>
            <w:r>
              <w:rPr>
                <w:rFonts w:eastAsia="Times New Roman" w:cs="Calibri"/>
                <w:b/>
                <w:bCs/>
                <w:color w:val="000000"/>
                <w:sz w:val="20"/>
                <w:szCs w:val="20"/>
              </w:rPr>
              <w:t xml:space="preserve"> </w:t>
            </w:r>
            <w:r w:rsidRPr="007C210F">
              <w:rPr>
                <w:rFonts w:eastAsia="Times New Roman" w:cs="Calibri"/>
                <w:b/>
                <w:bCs/>
                <w:color w:val="000000"/>
                <w:sz w:val="20"/>
                <w:szCs w:val="20"/>
              </w:rPr>
              <w:t>(%)</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b/>
                <w:bCs/>
                <w:color w:val="000000"/>
                <w:sz w:val="22"/>
              </w:rPr>
            </w:pPr>
            <w:r w:rsidRPr="007C210F">
              <w:rPr>
                <w:rFonts w:eastAsia="Times New Roman" w:cs="Calibri"/>
                <w:b/>
                <w:bCs/>
                <w:color w:val="000000"/>
                <w:sz w:val="22"/>
              </w:rPr>
              <w:t>TSGENCO</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color w:val="000000"/>
                <w:sz w:val="22"/>
              </w:rPr>
            </w:pPr>
            <w:r w:rsidRPr="007C210F">
              <w:rPr>
                <w:rFonts w:eastAsia="Times New Roman" w:cs="Calibri"/>
                <w:color w:val="000000"/>
                <w:sz w:val="22"/>
              </w:rPr>
              <w:t>KTPS (ABC)</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720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2038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32%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0</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0%</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2038</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8.1%</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KTPS (D) V</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3211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2444</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2921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3174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72%</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11750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67.1%</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KTPS VI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3393</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3386</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2956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3462</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79%</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13198</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75.3%</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RTS B</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63</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351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250</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232</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42%</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1069</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48.8%</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Kakatiya</w:t>
            </w:r>
            <w:proofErr w:type="spellEnd"/>
            <w:r w:rsidRPr="007C210F">
              <w:rPr>
                <w:rFonts w:eastAsia="Times New Roman" w:cs="Calibri"/>
                <w:color w:val="000000"/>
                <w:sz w:val="22"/>
              </w:rPr>
              <w:t xml:space="preserve"> - KTPP 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2912</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2353</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3390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2979</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68%</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11633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66.4%</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lastRenderedPageBreak/>
              <w:t>Kakatiya</w:t>
            </w:r>
            <w:proofErr w:type="spellEnd"/>
            <w:r w:rsidRPr="007C210F">
              <w:rPr>
                <w:rFonts w:eastAsia="Times New Roman" w:cs="Calibri"/>
                <w:color w:val="000000"/>
                <w:sz w:val="22"/>
              </w:rPr>
              <w:t xml:space="preserve"> - KTPP 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4244</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3673</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3366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4167</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79%</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15449</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73.5%</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KTPS VII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3390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48%</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5833</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5587</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4013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57%</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18824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67.2%</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Bhadradri</w:t>
            </w:r>
            <w:proofErr w:type="spellEnd"/>
            <w:r w:rsidRPr="007C210F">
              <w:rPr>
                <w:rFonts w:eastAsia="Times New Roman" w:cs="Calibri"/>
                <w:color w:val="000000"/>
                <w:sz w:val="22"/>
              </w:rPr>
              <w:t xml:space="preserve"> - BTPS (units I to IV)</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1080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1658</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18%</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4701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5633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60%</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11992</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31.7%</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980D4E" w:rsidRDefault="0041423C" w:rsidP="007C210F">
            <w:pPr>
              <w:spacing w:after="0" w:line="240" w:lineRule="auto"/>
              <w:rPr>
                <w:rFonts w:eastAsia="Times New Roman" w:cs="Calibri"/>
                <w:color w:val="000000"/>
                <w:sz w:val="22"/>
              </w:rPr>
            </w:pPr>
            <w:r w:rsidRPr="0041423C">
              <w:rPr>
                <w:rFonts w:eastAsia="Times New Roman" w:cs="Calibri"/>
                <w:color w:val="000000"/>
                <w:sz w:val="22"/>
              </w:rPr>
              <w:t xml:space="preserve">TS </w:t>
            </w:r>
            <w:proofErr w:type="spellStart"/>
            <w:r w:rsidRPr="0041423C">
              <w:rPr>
                <w:rFonts w:eastAsia="Times New Roman" w:cs="Calibri"/>
                <w:color w:val="000000"/>
                <w:sz w:val="22"/>
              </w:rPr>
              <w:t>Genco</w:t>
            </w:r>
            <w:proofErr w:type="spellEnd"/>
            <w:r w:rsidRPr="0041423C">
              <w:rPr>
                <w:rFonts w:eastAsia="Times New Roman" w:cs="Calibri"/>
                <w:color w:val="000000"/>
                <w:sz w:val="22"/>
              </w:rPr>
              <w:t xml:space="preserve"> Hydro</w:t>
            </w:r>
          </w:p>
        </w:tc>
        <w:tc>
          <w:tcPr>
            <w:tcW w:w="941"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2325</w:t>
            </w:r>
          </w:p>
        </w:tc>
        <w:tc>
          <w:tcPr>
            <w:tcW w:w="791"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4297</w:t>
            </w:r>
          </w:p>
        </w:tc>
        <w:tc>
          <w:tcPr>
            <w:tcW w:w="770"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21%</w:t>
            </w:r>
          </w:p>
        </w:tc>
        <w:tc>
          <w:tcPr>
            <w:tcW w:w="783"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3424</w:t>
            </w:r>
          </w:p>
        </w:tc>
        <w:tc>
          <w:tcPr>
            <w:tcW w:w="776"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17%</w:t>
            </w:r>
          </w:p>
        </w:tc>
        <w:tc>
          <w:tcPr>
            <w:tcW w:w="783"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5414</w:t>
            </w:r>
          </w:p>
        </w:tc>
        <w:tc>
          <w:tcPr>
            <w:tcW w:w="770"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27%</w:t>
            </w:r>
          </w:p>
        </w:tc>
        <w:tc>
          <w:tcPr>
            <w:tcW w:w="783"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5742</w:t>
            </w:r>
          </w:p>
        </w:tc>
        <w:tc>
          <w:tcPr>
            <w:tcW w:w="785"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28%</w:t>
            </w:r>
          </w:p>
        </w:tc>
        <w:tc>
          <w:tcPr>
            <w:tcW w:w="886"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18877</w:t>
            </w:r>
          </w:p>
        </w:tc>
        <w:tc>
          <w:tcPr>
            <w:tcW w:w="785" w:type="dxa"/>
            <w:tcBorders>
              <w:top w:val="nil"/>
              <w:left w:val="nil"/>
              <w:bottom w:val="single" w:sz="4" w:space="0" w:color="auto"/>
              <w:right w:val="single" w:sz="4" w:space="0" w:color="auto"/>
            </w:tcBorders>
            <w:shd w:val="clear" w:color="auto" w:fill="auto"/>
            <w:vAlign w:val="center"/>
            <w:hideMark/>
          </w:tcPr>
          <w:p w:rsidR="007C210F" w:rsidRPr="00980D4E" w:rsidRDefault="0041423C" w:rsidP="00055920">
            <w:pPr>
              <w:spacing w:after="0" w:line="240" w:lineRule="auto"/>
              <w:jc w:val="center"/>
              <w:rPr>
                <w:rFonts w:eastAsia="Times New Roman" w:cs="Calibri"/>
                <w:color w:val="000000"/>
                <w:sz w:val="22"/>
              </w:rPr>
            </w:pPr>
            <w:r w:rsidRPr="0041423C">
              <w:rPr>
                <w:rFonts w:eastAsia="Times New Roman" w:cs="Calibri"/>
                <w:color w:val="000000"/>
                <w:sz w:val="22"/>
              </w:rPr>
              <w:t>23%</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b/>
                <w:bCs/>
                <w:color w:val="000000"/>
                <w:sz w:val="22"/>
              </w:rPr>
            </w:pPr>
            <w:r w:rsidRPr="007C210F">
              <w:rPr>
                <w:rFonts w:eastAsia="Times New Roman" w:cs="Calibri"/>
                <w:b/>
                <w:bCs/>
                <w:color w:val="000000"/>
                <w:sz w:val="22"/>
              </w:rPr>
              <w:t xml:space="preserve">Central Generating Stations </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NTPC (SR) - I &amp; 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345.45</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2031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2125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2126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1984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66%</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8266</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68%</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NTPC (SR) Stage III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86.72</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536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501</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628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473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62%</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2138</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Talcher</w:t>
            </w:r>
            <w:proofErr w:type="spellEnd"/>
            <w:r w:rsidRPr="007C210F">
              <w:rPr>
                <w:rFonts w:eastAsia="Times New Roman" w:cs="Calibri"/>
                <w:color w:val="000000"/>
                <w:sz w:val="22"/>
              </w:rPr>
              <w:t xml:space="preserve"> Stage 2</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214.43</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1374</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1504</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1558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1711</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91%</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6148</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82%</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 xml:space="preserve">NTPC </w:t>
            </w:r>
            <w:proofErr w:type="spellStart"/>
            <w:r w:rsidRPr="007C210F">
              <w:rPr>
                <w:rFonts w:eastAsia="Times New Roman" w:cs="Calibri"/>
                <w:color w:val="000000"/>
                <w:sz w:val="22"/>
              </w:rPr>
              <w:t>Simhadri</w:t>
            </w:r>
            <w:proofErr w:type="spellEnd"/>
            <w:r w:rsidRPr="007C210F">
              <w:rPr>
                <w:rFonts w:eastAsia="Times New Roman" w:cs="Calibri"/>
                <w:color w:val="000000"/>
                <w:sz w:val="22"/>
              </w:rPr>
              <w:t xml:space="preserve"> Stage 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538.90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2616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1604</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3185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3220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68%</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10625</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56%</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 xml:space="preserve">NTPC </w:t>
            </w:r>
            <w:proofErr w:type="spellStart"/>
            <w:r w:rsidRPr="007C210F">
              <w:rPr>
                <w:rFonts w:eastAsia="Times New Roman" w:cs="Calibri"/>
                <w:color w:val="000000"/>
                <w:sz w:val="22"/>
              </w:rPr>
              <w:t>Simhadri</w:t>
            </w:r>
            <w:proofErr w:type="spellEnd"/>
            <w:r w:rsidRPr="007C210F">
              <w:rPr>
                <w:rFonts w:eastAsia="Times New Roman" w:cs="Calibri"/>
                <w:color w:val="000000"/>
                <w:sz w:val="22"/>
              </w:rPr>
              <w:t xml:space="preserve"> Stage 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231.30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1204</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1092</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1406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1536</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76%</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5239</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65%</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 xml:space="preserve">NTPC </w:t>
            </w:r>
            <w:proofErr w:type="spellStart"/>
            <w:r w:rsidRPr="007C210F">
              <w:rPr>
                <w:rFonts w:eastAsia="Times New Roman" w:cs="Calibri"/>
                <w:color w:val="000000"/>
                <w:sz w:val="22"/>
              </w:rPr>
              <w:t>Kudigi</w:t>
            </w:r>
            <w:proofErr w:type="spellEnd"/>
            <w:r w:rsidRPr="007C210F">
              <w:rPr>
                <w:rFonts w:eastAsia="Times New Roman" w:cs="Calibri"/>
                <w:color w:val="000000"/>
                <w:sz w:val="22"/>
              </w:rPr>
              <w:t xml:space="preserve"> - I, II &amp; III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271.68</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565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538</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828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1135</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48%</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3066</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32%</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NLC Stage-I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59.89</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366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295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359</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68</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1088</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52%</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NLC Stage-II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105.04</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626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68%</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315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557</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1600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 xml:space="preserve">NNTPP (New </w:t>
            </w:r>
            <w:proofErr w:type="spellStart"/>
            <w:r w:rsidRPr="007C210F">
              <w:rPr>
                <w:rFonts w:eastAsia="Times New Roman" w:cs="Calibri"/>
                <w:color w:val="000000"/>
                <w:sz w:val="22"/>
              </w:rPr>
              <w:t>Neyveli</w:t>
            </w:r>
            <w:proofErr w:type="spellEnd"/>
            <w:r w:rsidRPr="007C210F">
              <w:rPr>
                <w:rFonts w:eastAsia="Times New Roman" w:cs="Calibri"/>
                <w:color w:val="000000"/>
                <w:sz w:val="22"/>
              </w:rPr>
              <w:t>)</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62.10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34</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190</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365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443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81%</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1031</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47%</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NLC Expansion 1</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NLC Expansion 2</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NPC-MAPS</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22.76</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38%</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36%</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260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33%</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NPC-</w:t>
            </w:r>
            <w:proofErr w:type="spellStart"/>
            <w:r w:rsidRPr="007C210F">
              <w:rPr>
                <w:rFonts w:eastAsia="Times New Roman" w:cs="Calibri"/>
                <w:color w:val="000000"/>
                <w:sz w:val="22"/>
              </w:rPr>
              <w:t>Kaiga</w:t>
            </w:r>
            <w:proofErr w:type="spellEnd"/>
            <w:r w:rsidRPr="007C210F">
              <w:rPr>
                <w:rFonts w:eastAsia="Times New Roman" w:cs="Calibri"/>
                <w:color w:val="000000"/>
                <w:sz w:val="22"/>
              </w:rPr>
              <w:t xml:space="preserve"> unit I &amp; 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145.08</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1085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1052</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1106</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1087</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86%</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4330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85%</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NPC-</w:t>
            </w:r>
            <w:proofErr w:type="spellStart"/>
            <w:r w:rsidRPr="007C210F">
              <w:rPr>
                <w:rFonts w:eastAsia="Times New Roman" w:cs="Calibri"/>
                <w:color w:val="000000"/>
                <w:sz w:val="22"/>
              </w:rPr>
              <w:t>Kaiga</w:t>
            </w:r>
            <w:proofErr w:type="spellEnd"/>
            <w:r w:rsidRPr="007C210F">
              <w:rPr>
                <w:rFonts w:eastAsia="Times New Roman" w:cs="Calibri"/>
                <w:color w:val="000000"/>
                <w:sz w:val="22"/>
              </w:rPr>
              <w:t xml:space="preserve"> unit III &amp; IV</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 xml:space="preserve">NPC- </w:t>
            </w:r>
            <w:proofErr w:type="spellStart"/>
            <w:r w:rsidRPr="007C210F">
              <w:rPr>
                <w:rFonts w:eastAsia="Times New Roman" w:cs="Calibri"/>
                <w:color w:val="000000"/>
                <w:sz w:val="22"/>
              </w:rPr>
              <w:t>Kudankulam</w:t>
            </w:r>
            <w:proofErr w:type="spellEnd"/>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179</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294</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349</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351</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1174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67%</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Kudankulam</w:t>
            </w:r>
            <w:proofErr w:type="spellEnd"/>
            <w:r w:rsidRPr="007C210F">
              <w:rPr>
                <w:rFonts w:eastAsia="Times New Roman" w:cs="Calibri"/>
                <w:color w:val="000000"/>
                <w:sz w:val="22"/>
              </w:rPr>
              <w:t xml:space="preserve"> (KKNPP) Unit-II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p>
        </w:tc>
      </w:tr>
      <w:tr w:rsidR="007C210F" w:rsidRPr="007C210F" w:rsidTr="00055920">
        <w:trPr>
          <w:trHeight w:val="535"/>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Vallur</w:t>
            </w:r>
            <w:proofErr w:type="spellEnd"/>
            <w:r w:rsidRPr="007C210F">
              <w:rPr>
                <w:rFonts w:eastAsia="Times New Roman" w:cs="Calibri"/>
                <w:color w:val="000000"/>
                <w:sz w:val="22"/>
              </w:rPr>
              <w:t xml:space="preserve"> Thermal Power Plant (NTECL - </w:t>
            </w:r>
            <w:proofErr w:type="spellStart"/>
            <w:r w:rsidRPr="007C210F">
              <w:rPr>
                <w:rFonts w:eastAsia="Times New Roman" w:cs="Calibri"/>
                <w:color w:val="000000"/>
                <w:sz w:val="22"/>
              </w:rPr>
              <w:t>Vallur</w:t>
            </w:r>
            <w:proofErr w:type="spellEnd"/>
            <w:r w:rsidRPr="007C210F">
              <w:rPr>
                <w:rFonts w:eastAsia="Times New Roman" w:cs="Calibri"/>
                <w:color w:val="000000"/>
                <w:sz w:val="22"/>
              </w:rPr>
              <w:t>)</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110.65</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218</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571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705</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1924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50%</w:t>
            </w:r>
          </w:p>
        </w:tc>
      </w:tr>
      <w:tr w:rsidR="007C210F" w:rsidRPr="007C210F" w:rsidTr="00055920">
        <w:trPr>
          <w:trHeight w:val="535"/>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 xml:space="preserve">NLC </w:t>
            </w:r>
            <w:proofErr w:type="spellStart"/>
            <w:r w:rsidRPr="007C210F">
              <w:rPr>
                <w:rFonts w:eastAsia="Times New Roman" w:cs="Calibri"/>
                <w:color w:val="000000"/>
                <w:sz w:val="22"/>
              </w:rPr>
              <w:t>Tamilnadu</w:t>
            </w:r>
            <w:proofErr w:type="spellEnd"/>
            <w:r w:rsidRPr="007C210F">
              <w:rPr>
                <w:rFonts w:eastAsia="Times New Roman" w:cs="Calibri"/>
                <w:color w:val="000000"/>
                <w:sz w:val="22"/>
              </w:rPr>
              <w:t xml:space="preserve"> Power Ltd (</w:t>
            </w:r>
            <w:proofErr w:type="spellStart"/>
            <w:r w:rsidRPr="007C210F">
              <w:rPr>
                <w:rFonts w:eastAsia="Times New Roman" w:cs="Calibri"/>
                <w:color w:val="000000"/>
                <w:sz w:val="22"/>
              </w:rPr>
              <w:t>Tuticorin</w:t>
            </w:r>
            <w:proofErr w:type="spellEnd"/>
            <w:r w:rsidRPr="007C210F">
              <w:rPr>
                <w:rFonts w:eastAsia="Times New Roman" w:cs="Calibri"/>
                <w:color w:val="000000"/>
                <w:sz w:val="22"/>
              </w:rPr>
              <w:t>)</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152.33</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750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806</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648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930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3135</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59%</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NSM Bundled Ph 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200.00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1378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1156</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1223</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1516</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87%</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5274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75%</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NVVNL B.P-Coal</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45.81</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204</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220</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252</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887</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55%</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b/>
                <w:bCs/>
                <w:color w:val="000000"/>
                <w:sz w:val="22"/>
              </w:rPr>
            </w:pPr>
            <w:r w:rsidRPr="007C210F">
              <w:rPr>
                <w:rFonts w:eastAsia="Times New Roman" w:cs="Calibri"/>
                <w:b/>
                <w:bCs/>
                <w:color w:val="000000"/>
                <w:sz w:val="22"/>
              </w:rPr>
              <w:t>IPPs</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Sembcorp</w:t>
            </w:r>
            <w:proofErr w:type="spellEnd"/>
            <w:r w:rsidRPr="007C210F">
              <w:rPr>
                <w:rFonts w:eastAsia="Times New Roman" w:cs="Calibri"/>
                <w:color w:val="000000"/>
                <w:sz w:val="22"/>
              </w:rPr>
              <w:t xml:space="preserve"> Unit 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269.50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2273</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1879</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2145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2186</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8484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90%</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Sembcorp</w:t>
            </w:r>
            <w:proofErr w:type="spellEnd"/>
            <w:r w:rsidRPr="007C210F">
              <w:rPr>
                <w:rFonts w:eastAsia="Times New Roman" w:cs="Calibri"/>
                <w:color w:val="000000"/>
                <w:sz w:val="22"/>
              </w:rPr>
              <w:t xml:space="preserve"> Unit II</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570.00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4524</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91%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4207</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4368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4037</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81%</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17135</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86%</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b/>
                <w:bCs/>
                <w:color w:val="000000"/>
                <w:sz w:val="22"/>
              </w:rPr>
            </w:pPr>
            <w:r w:rsidRPr="007C210F">
              <w:rPr>
                <w:rFonts w:eastAsia="Times New Roman" w:cs="Calibri"/>
                <w:b/>
                <w:bCs/>
                <w:color w:val="000000"/>
                <w:sz w:val="22"/>
              </w:rPr>
              <w:lastRenderedPageBreak/>
              <w:t>NCE</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color w:val="000000"/>
                <w:sz w:val="22"/>
              </w:rPr>
            </w:pPr>
            <w:r w:rsidRPr="007C210F">
              <w:rPr>
                <w:rFonts w:eastAsia="Times New Roman" w:cs="Calibri"/>
                <w:color w:val="000000"/>
                <w:sz w:val="22"/>
              </w:rPr>
              <w:t>NCE - TSNPDCL</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925.60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1771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1786</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1759</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1754</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22%</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7070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22%</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color w:val="000000"/>
                <w:sz w:val="22"/>
              </w:rPr>
            </w:pPr>
            <w:r w:rsidRPr="007C210F">
              <w:rPr>
                <w:rFonts w:eastAsia="Times New Roman" w:cs="Calibri"/>
                <w:color w:val="000000"/>
                <w:sz w:val="22"/>
              </w:rPr>
              <w:t>NCE - TSSPDCL</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2128.14</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3831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3905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3837</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3960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21%</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15533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color w:val="000000"/>
                <w:sz w:val="22"/>
              </w:rPr>
            </w:pPr>
            <w:r w:rsidRPr="007C210F">
              <w:rPr>
                <w:rFonts w:eastAsia="Times New Roman" w:cs="Calibri"/>
                <w:color w:val="000000"/>
                <w:sz w:val="22"/>
              </w:rPr>
              <w:t>21%</w:t>
            </w:r>
          </w:p>
        </w:tc>
      </w:tr>
      <w:tr w:rsidR="007C210F" w:rsidRPr="007C210F" w:rsidTr="00596ECC">
        <w:trPr>
          <w:trHeight w:val="535"/>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NTPC CPSU/NTPC Solar Phase-1</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1296.00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596ECC" w:rsidP="00055920">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596ECC" w:rsidP="00055920">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83" w:type="dxa"/>
            <w:tcBorders>
              <w:top w:val="nil"/>
              <w:left w:val="nil"/>
              <w:bottom w:val="single" w:sz="4" w:space="0" w:color="auto"/>
              <w:right w:val="single" w:sz="4" w:space="0" w:color="auto"/>
            </w:tcBorders>
            <w:shd w:val="clear" w:color="auto" w:fill="auto"/>
            <w:vAlign w:val="center"/>
          </w:tcPr>
          <w:p w:rsidR="007C210F" w:rsidRPr="007C210F" w:rsidRDefault="00596ECC" w:rsidP="00055920">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76" w:type="dxa"/>
            <w:tcBorders>
              <w:top w:val="nil"/>
              <w:left w:val="nil"/>
              <w:bottom w:val="single" w:sz="4" w:space="0" w:color="auto"/>
              <w:right w:val="single" w:sz="4" w:space="0" w:color="auto"/>
            </w:tcBorders>
            <w:shd w:val="clear" w:color="auto" w:fill="auto"/>
            <w:vAlign w:val="center"/>
          </w:tcPr>
          <w:p w:rsidR="007C210F" w:rsidRPr="007C210F" w:rsidRDefault="00596ECC" w:rsidP="00055920">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1439</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1503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w:t>
            </w:r>
          </w:p>
        </w:tc>
      </w:tr>
      <w:tr w:rsidR="00596ECC"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596ECC" w:rsidRPr="007C210F" w:rsidRDefault="00596ECC" w:rsidP="00596ECC">
            <w:pPr>
              <w:spacing w:after="0" w:line="240" w:lineRule="auto"/>
              <w:outlineLvl w:val="0"/>
              <w:rPr>
                <w:rFonts w:eastAsia="Times New Roman" w:cs="Calibri"/>
                <w:color w:val="000000"/>
                <w:sz w:val="22"/>
              </w:rPr>
            </w:pPr>
            <w:r w:rsidRPr="007C210F">
              <w:rPr>
                <w:rFonts w:eastAsia="Times New Roman" w:cs="Calibri"/>
                <w:color w:val="000000"/>
                <w:sz w:val="22"/>
              </w:rPr>
              <w:t>SECI</w:t>
            </w:r>
          </w:p>
        </w:tc>
        <w:tc>
          <w:tcPr>
            <w:tcW w:w="941"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400.00</w:t>
            </w:r>
          </w:p>
        </w:tc>
        <w:tc>
          <w:tcPr>
            <w:tcW w:w="791"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70"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83"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76"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Pr>
                <w:rFonts w:eastAsia="Times New Roman" w:cs="Calibri"/>
                <w:color w:val="000000"/>
                <w:sz w:val="22"/>
              </w:rPr>
              <w:t>-</w:t>
            </w:r>
          </w:p>
        </w:tc>
        <w:tc>
          <w:tcPr>
            <w:tcW w:w="783"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138</w:t>
            </w:r>
          </w:p>
        </w:tc>
        <w:tc>
          <w:tcPr>
            <w:tcW w:w="770"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4%</w:t>
            </w:r>
          </w:p>
        </w:tc>
        <w:tc>
          <w:tcPr>
            <w:tcW w:w="783"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617</w:t>
            </w:r>
          </w:p>
        </w:tc>
        <w:tc>
          <w:tcPr>
            <w:tcW w:w="785"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18%</w:t>
            </w:r>
          </w:p>
        </w:tc>
        <w:tc>
          <w:tcPr>
            <w:tcW w:w="886"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755</w:t>
            </w:r>
          </w:p>
        </w:tc>
        <w:tc>
          <w:tcPr>
            <w:tcW w:w="785" w:type="dxa"/>
            <w:tcBorders>
              <w:top w:val="nil"/>
              <w:left w:val="nil"/>
              <w:bottom w:val="single" w:sz="4" w:space="0" w:color="auto"/>
              <w:right w:val="single" w:sz="4" w:space="0" w:color="auto"/>
            </w:tcBorders>
            <w:shd w:val="clear" w:color="auto" w:fill="auto"/>
            <w:vAlign w:val="center"/>
            <w:hideMark/>
          </w:tcPr>
          <w:p w:rsidR="00596ECC" w:rsidRPr="007C210F" w:rsidRDefault="00596ECC" w:rsidP="00596ECC">
            <w:pPr>
              <w:spacing w:after="0" w:line="240" w:lineRule="auto"/>
              <w:jc w:val="center"/>
              <w:outlineLvl w:val="0"/>
              <w:rPr>
                <w:rFonts w:eastAsia="Times New Roman" w:cs="Calibri"/>
                <w:color w:val="000000"/>
                <w:sz w:val="22"/>
              </w:rPr>
            </w:pPr>
            <w:r w:rsidRPr="007C210F">
              <w:rPr>
                <w:rFonts w:eastAsia="Times New Roman" w:cs="Calibri"/>
                <w:color w:val="000000"/>
                <w:sz w:val="22"/>
              </w:rPr>
              <w:t>5%</w:t>
            </w:r>
          </w:p>
        </w:tc>
      </w:tr>
      <w:tr w:rsidR="007C210F" w:rsidRPr="007C210F" w:rsidTr="00055920">
        <w:trPr>
          <w:trHeight w:val="535"/>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NTPC Bundled Scheme under JNNSM Ph-1</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45.81</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58</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14%</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52</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43</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11%</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41</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193</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12%</w:t>
            </w:r>
          </w:p>
        </w:tc>
      </w:tr>
      <w:tr w:rsidR="007C210F" w:rsidRPr="007C210F" w:rsidTr="00055920">
        <w:trPr>
          <w:trHeight w:val="535"/>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NTPC Bundled Scheme under JNNSM Ph-II (400 MW)</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400.00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794</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815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807</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819</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3235</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23%</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rPr>
                <w:rFonts w:eastAsia="Times New Roman" w:cs="Calibri"/>
                <w:b/>
                <w:bCs/>
                <w:color w:val="000000"/>
                <w:sz w:val="22"/>
              </w:rPr>
            </w:pPr>
            <w:r w:rsidRPr="007C210F">
              <w:rPr>
                <w:rFonts w:eastAsia="Times New Roman" w:cs="Calibri"/>
                <w:b/>
                <w:bCs/>
                <w:color w:val="000000"/>
                <w:sz w:val="22"/>
              </w:rPr>
              <w:t>OTHERS</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rPr>
                <w:rFonts w:eastAsia="Times New Roman" w:cs="Calibri"/>
                <w:b/>
                <w:bCs/>
                <w:color w:val="000000"/>
                <w:sz w:val="22"/>
              </w:rPr>
            </w:pP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proofErr w:type="spellStart"/>
            <w:r w:rsidRPr="007C210F">
              <w:rPr>
                <w:rFonts w:eastAsia="Times New Roman" w:cs="Calibri"/>
                <w:color w:val="000000"/>
                <w:sz w:val="22"/>
              </w:rPr>
              <w:t>Singareni</w:t>
            </w:r>
            <w:proofErr w:type="spellEnd"/>
            <w:r w:rsidRPr="007C210F">
              <w:rPr>
                <w:rFonts w:eastAsia="Times New Roman" w:cs="Calibri"/>
                <w:color w:val="000000"/>
                <w:sz w:val="22"/>
              </w:rPr>
              <w:t xml:space="preserve"> CCL</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1200.00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8602</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82%</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6875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65%</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8773</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83%</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8721</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83%</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32971</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78%</w:t>
            </w:r>
          </w:p>
        </w:tc>
      </w:tr>
      <w:tr w:rsidR="007C210F" w:rsidRPr="007C210F" w:rsidTr="00055920">
        <w:trPr>
          <w:trHeight w:val="267"/>
        </w:trPr>
        <w:tc>
          <w:tcPr>
            <w:tcW w:w="1940" w:type="dxa"/>
            <w:tcBorders>
              <w:top w:val="nil"/>
              <w:left w:val="single" w:sz="8" w:space="0" w:color="auto"/>
              <w:bottom w:val="single" w:sz="4" w:space="0" w:color="auto"/>
              <w:right w:val="single" w:sz="4" w:space="0" w:color="auto"/>
            </w:tcBorders>
            <w:shd w:val="clear" w:color="auto" w:fill="auto"/>
            <w:vAlign w:val="bottom"/>
            <w:hideMark/>
          </w:tcPr>
          <w:p w:rsidR="007C210F" w:rsidRPr="007C210F" w:rsidRDefault="007C210F" w:rsidP="007C210F">
            <w:pPr>
              <w:spacing w:after="0" w:line="240" w:lineRule="auto"/>
              <w:outlineLvl w:val="0"/>
              <w:rPr>
                <w:rFonts w:eastAsia="Times New Roman" w:cs="Calibri"/>
                <w:color w:val="000000"/>
                <w:sz w:val="22"/>
              </w:rPr>
            </w:pPr>
            <w:r w:rsidRPr="007C210F">
              <w:rPr>
                <w:rFonts w:eastAsia="Times New Roman" w:cs="Calibri"/>
                <w:color w:val="000000"/>
                <w:sz w:val="22"/>
              </w:rPr>
              <w:t>CSPDCL</w:t>
            </w:r>
          </w:p>
        </w:tc>
        <w:tc>
          <w:tcPr>
            <w:tcW w:w="94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1000.00</w:t>
            </w:r>
          </w:p>
        </w:tc>
        <w:tc>
          <w:tcPr>
            <w:tcW w:w="791"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2245</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26%</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3275</w:t>
            </w:r>
          </w:p>
        </w:tc>
        <w:tc>
          <w:tcPr>
            <w:tcW w:w="77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37%</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1631</w:t>
            </w:r>
          </w:p>
        </w:tc>
        <w:tc>
          <w:tcPr>
            <w:tcW w:w="770"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19%</w:t>
            </w:r>
          </w:p>
        </w:tc>
        <w:tc>
          <w:tcPr>
            <w:tcW w:w="783"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0%</w:t>
            </w:r>
          </w:p>
        </w:tc>
        <w:tc>
          <w:tcPr>
            <w:tcW w:w="886"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7152</w:t>
            </w:r>
          </w:p>
        </w:tc>
        <w:tc>
          <w:tcPr>
            <w:tcW w:w="785" w:type="dxa"/>
            <w:tcBorders>
              <w:top w:val="nil"/>
              <w:left w:val="nil"/>
              <w:bottom w:val="single" w:sz="4" w:space="0" w:color="auto"/>
              <w:right w:val="single" w:sz="4" w:space="0" w:color="auto"/>
            </w:tcBorders>
            <w:shd w:val="clear" w:color="auto" w:fill="auto"/>
            <w:vAlign w:val="center"/>
            <w:hideMark/>
          </w:tcPr>
          <w:p w:rsidR="007C210F" w:rsidRPr="007C210F" w:rsidRDefault="007C210F" w:rsidP="00055920">
            <w:pPr>
              <w:spacing w:after="0" w:line="240" w:lineRule="auto"/>
              <w:jc w:val="center"/>
              <w:outlineLvl w:val="0"/>
              <w:rPr>
                <w:rFonts w:eastAsia="Times New Roman" w:cs="Calibri"/>
                <w:color w:val="000000"/>
                <w:sz w:val="22"/>
              </w:rPr>
            </w:pPr>
            <w:r w:rsidRPr="007C210F">
              <w:rPr>
                <w:rFonts w:eastAsia="Times New Roman" w:cs="Calibri"/>
                <w:color w:val="000000"/>
                <w:sz w:val="22"/>
              </w:rPr>
              <w:t>20%</w:t>
            </w:r>
          </w:p>
        </w:tc>
      </w:tr>
    </w:tbl>
    <w:p w:rsidR="00055920" w:rsidRDefault="00055920" w:rsidP="008171B5">
      <w:pPr>
        <w:jc w:val="both"/>
      </w:pPr>
    </w:p>
    <w:p w:rsidR="00CB09F9" w:rsidRDefault="00327C8C" w:rsidP="008171B5">
      <w:pPr>
        <w:jc w:val="both"/>
      </w:pPr>
      <w:r>
        <w:t xml:space="preserve">It is also to be noted that when the availability of a generating station is lower than the normative availability, the fixed charges eligible to be recovered by the generating station will also reduce as per the Regulatory provisions of Generation Tariff Regulations. </w:t>
      </w:r>
      <w:r w:rsidR="00CB09F9">
        <w:t>A comparison of approved Fixed Charges paid (as approved in RST Order) and actual Fixed Charges paid for FY 2022-23 and FY 2023-24 (Q1) is as follows:</w:t>
      </w:r>
    </w:p>
    <w:p w:rsidR="00CB09F9" w:rsidRDefault="00CB09F9" w:rsidP="00CB09F9">
      <w:pPr>
        <w:pStyle w:val="Caption"/>
      </w:pPr>
      <w:r>
        <w:t xml:space="preserve">Table </w:t>
      </w:r>
      <w:r w:rsidR="008737D4">
        <w:fldChar w:fldCharType="begin"/>
      </w:r>
      <w:r w:rsidR="00E7272A">
        <w:instrText xml:space="preserve"> SEQ Table \* ARABIC </w:instrText>
      </w:r>
      <w:r w:rsidR="008737D4">
        <w:fldChar w:fldCharType="separate"/>
      </w:r>
      <w:r w:rsidR="00D41256">
        <w:rPr>
          <w:noProof/>
        </w:rPr>
        <w:t>10</w:t>
      </w:r>
      <w:r w:rsidR="008737D4">
        <w:rPr>
          <w:noProof/>
        </w:rPr>
        <w:fldChar w:fldCharType="end"/>
      </w:r>
      <w:r>
        <w:t xml:space="preserve"> Comparison of approved and actual Fixed Charges paid for FY 2022-23</w:t>
      </w:r>
    </w:p>
    <w:tbl>
      <w:tblPr>
        <w:tblW w:w="8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6"/>
        <w:gridCol w:w="1689"/>
        <w:gridCol w:w="1755"/>
        <w:gridCol w:w="1574"/>
      </w:tblGrid>
      <w:tr w:rsidR="00CB09F9" w:rsidRPr="00CB09F9" w:rsidTr="00CB09F9">
        <w:trPr>
          <w:trHeight w:val="582"/>
          <w:tblHeader/>
          <w:jc w:val="center"/>
        </w:trPr>
        <w:tc>
          <w:tcPr>
            <w:tcW w:w="3296" w:type="dxa"/>
            <w:vMerge w:val="restart"/>
            <w:shd w:val="clear" w:color="000000" w:fill="DDEBF7"/>
            <w:vAlign w:val="center"/>
            <w:hideMark/>
          </w:tcPr>
          <w:p w:rsidR="00CB09F9" w:rsidRPr="00CB09F9" w:rsidRDefault="00CB09F9" w:rsidP="00CB09F9">
            <w:pPr>
              <w:spacing w:after="0" w:line="240" w:lineRule="auto"/>
              <w:jc w:val="center"/>
              <w:rPr>
                <w:rFonts w:eastAsia="Times New Roman" w:cs="Calibri"/>
                <w:b/>
                <w:bCs/>
                <w:sz w:val="22"/>
              </w:rPr>
            </w:pPr>
            <w:r w:rsidRPr="00CB09F9">
              <w:rPr>
                <w:rFonts w:eastAsia="Times New Roman" w:cs="Calibri"/>
                <w:b/>
                <w:bCs/>
                <w:sz w:val="22"/>
              </w:rPr>
              <w:t>Generating Station</w:t>
            </w:r>
          </w:p>
        </w:tc>
        <w:tc>
          <w:tcPr>
            <w:tcW w:w="3444" w:type="dxa"/>
            <w:gridSpan w:val="2"/>
            <w:shd w:val="clear" w:color="000000" w:fill="DDEBF7"/>
            <w:noWrap/>
            <w:vAlign w:val="center"/>
            <w:hideMark/>
          </w:tcPr>
          <w:p w:rsidR="00CB09F9" w:rsidRPr="00CB09F9" w:rsidRDefault="00CB09F9" w:rsidP="00CB09F9">
            <w:pPr>
              <w:spacing w:after="0" w:line="240" w:lineRule="auto"/>
              <w:jc w:val="center"/>
              <w:rPr>
                <w:rFonts w:eastAsia="Times New Roman" w:cs="Calibri"/>
                <w:b/>
                <w:bCs/>
                <w:sz w:val="22"/>
              </w:rPr>
            </w:pPr>
            <w:r w:rsidRPr="00CB09F9">
              <w:rPr>
                <w:rFonts w:eastAsia="Times New Roman" w:cs="Calibri"/>
                <w:b/>
                <w:bCs/>
                <w:sz w:val="22"/>
              </w:rPr>
              <w:t>Fixed Charges (Rs Cr)</w:t>
            </w:r>
          </w:p>
        </w:tc>
        <w:tc>
          <w:tcPr>
            <w:tcW w:w="1574" w:type="dxa"/>
            <w:shd w:val="clear" w:color="000000" w:fill="DDEBF7"/>
            <w:vAlign w:val="center"/>
            <w:hideMark/>
          </w:tcPr>
          <w:p w:rsidR="00CB09F9" w:rsidRPr="00CB09F9" w:rsidRDefault="00CB09F9" w:rsidP="00CB09F9">
            <w:pPr>
              <w:spacing w:after="0" w:line="240" w:lineRule="auto"/>
              <w:jc w:val="center"/>
              <w:rPr>
                <w:rFonts w:eastAsia="Times New Roman" w:cs="Calibri"/>
                <w:b/>
                <w:bCs/>
                <w:sz w:val="22"/>
              </w:rPr>
            </w:pPr>
            <w:r w:rsidRPr="00CB09F9">
              <w:rPr>
                <w:rFonts w:eastAsia="Times New Roman" w:cs="Calibri"/>
                <w:b/>
                <w:bCs/>
                <w:sz w:val="22"/>
              </w:rPr>
              <w:t xml:space="preserve">Fixed Charges Variance </w:t>
            </w:r>
          </w:p>
        </w:tc>
      </w:tr>
      <w:tr w:rsidR="00CB09F9" w:rsidRPr="00CB09F9" w:rsidTr="00CB09F9">
        <w:trPr>
          <w:trHeight w:val="286"/>
          <w:tblHeader/>
          <w:jc w:val="center"/>
        </w:trPr>
        <w:tc>
          <w:tcPr>
            <w:tcW w:w="3296" w:type="dxa"/>
            <w:vMerge/>
            <w:shd w:val="clear" w:color="000000" w:fill="DDEBF7"/>
            <w:noWrap/>
            <w:vAlign w:val="center"/>
            <w:hideMark/>
          </w:tcPr>
          <w:p w:rsidR="00CB09F9" w:rsidRPr="00CB09F9" w:rsidRDefault="00CB09F9" w:rsidP="00CB09F9">
            <w:pPr>
              <w:spacing w:after="0" w:line="240" w:lineRule="auto"/>
              <w:jc w:val="center"/>
              <w:rPr>
                <w:rFonts w:eastAsia="Times New Roman" w:cs="Calibri"/>
                <w:b/>
                <w:bCs/>
                <w:sz w:val="22"/>
              </w:rPr>
            </w:pPr>
          </w:p>
        </w:tc>
        <w:tc>
          <w:tcPr>
            <w:tcW w:w="1689" w:type="dxa"/>
            <w:shd w:val="clear" w:color="000000" w:fill="DDEBF7"/>
            <w:vAlign w:val="center"/>
            <w:hideMark/>
          </w:tcPr>
          <w:p w:rsidR="00CB09F9" w:rsidRPr="00CB09F9" w:rsidRDefault="00CB09F9" w:rsidP="00CB09F9">
            <w:pPr>
              <w:spacing w:after="0" w:line="240" w:lineRule="auto"/>
              <w:jc w:val="center"/>
              <w:rPr>
                <w:rFonts w:eastAsia="Times New Roman" w:cs="Calibri"/>
                <w:b/>
                <w:bCs/>
                <w:sz w:val="22"/>
              </w:rPr>
            </w:pPr>
            <w:r w:rsidRPr="00CB09F9">
              <w:rPr>
                <w:rFonts w:eastAsia="Times New Roman" w:cs="Calibri"/>
                <w:b/>
                <w:bCs/>
                <w:sz w:val="22"/>
              </w:rPr>
              <w:t>Approved</w:t>
            </w:r>
          </w:p>
        </w:tc>
        <w:tc>
          <w:tcPr>
            <w:tcW w:w="1755" w:type="dxa"/>
            <w:shd w:val="clear" w:color="000000" w:fill="DDEBF7"/>
            <w:noWrap/>
            <w:vAlign w:val="center"/>
            <w:hideMark/>
          </w:tcPr>
          <w:p w:rsidR="00CB09F9" w:rsidRPr="00CB09F9" w:rsidRDefault="00CB09F9" w:rsidP="00CB09F9">
            <w:pPr>
              <w:spacing w:after="0" w:line="240" w:lineRule="auto"/>
              <w:jc w:val="center"/>
              <w:rPr>
                <w:rFonts w:eastAsia="Times New Roman" w:cs="Calibri"/>
                <w:b/>
                <w:bCs/>
                <w:sz w:val="22"/>
              </w:rPr>
            </w:pPr>
            <w:r w:rsidRPr="00CB09F9">
              <w:rPr>
                <w:rFonts w:eastAsia="Times New Roman" w:cs="Calibri"/>
                <w:b/>
                <w:bCs/>
                <w:sz w:val="22"/>
              </w:rPr>
              <w:t>Actual</w:t>
            </w:r>
          </w:p>
        </w:tc>
        <w:tc>
          <w:tcPr>
            <w:tcW w:w="1574" w:type="dxa"/>
            <w:shd w:val="clear" w:color="000000" w:fill="DDEBF7"/>
            <w:noWrap/>
            <w:vAlign w:val="center"/>
            <w:hideMark/>
          </w:tcPr>
          <w:p w:rsidR="00CB09F9" w:rsidRPr="00CB09F9" w:rsidRDefault="00CB09F9" w:rsidP="00CB09F9">
            <w:pPr>
              <w:spacing w:after="0" w:line="240" w:lineRule="auto"/>
              <w:jc w:val="center"/>
              <w:rPr>
                <w:rFonts w:eastAsia="Times New Roman" w:cs="Calibri"/>
                <w:b/>
                <w:bCs/>
                <w:sz w:val="22"/>
              </w:rPr>
            </w:pPr>
            <w:r>
              <w:rPr>
                <w:rFonts w:eastAsia="Times New Roman" w:cs="Calibri"/>
                <w:b/>
                <w:bCs/>
                <w:sz w:val="22"/>
              </w:rPr>
              <w:t>Approved-Actual</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TS GENCO Thermal</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 </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 </w:t>
            </w:r>
          </w:p>
        </w:tc>
        <w:tc>
          <w:tcPr>
            <w:tcW w:w="1574"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r w:rsidRPr="00CB09F9">
              <w:rPr>
                <w:rFonts w:eastAsia="Times New Roman" w:cs="Calibri"/>
                <w:color w:val="000000"/>
                <w:sz w:val="22"/>
              </w:rPr>
              <w:t> </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KTPS V</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372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372</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KTPS VI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522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522</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KTPS VII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1061</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760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301</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RTS B</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113</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84</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29</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KTPP 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490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471</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19</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KTPP 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720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720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BTPS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1934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1486</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448</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YTPS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TOTAL TSGENCO THERMAL</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5212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4416</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796</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 xml:space="preserve">TS GENCO </w:t>
            </w:r>
            <w:proofErr w:type="spellStart"/>
            <w:r w:rsidRPr="00CB09F9">
              <w:rPr>
                <w:rFonts w:eastAsia="Times New Roman" w:cs="Calibri"/>
                <w:b/>
                <w:bCs/>
                <w:sz w:val="22"/>
              </w:rPr>
              <w:t>Hydel</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 </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 </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 </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proofErr w:type="spellStart"/>
            <w:r w:rsidRPr="00CB09F9">
              <w:rPr>
                <w:rFonts w:eastAsia="Times New Roman" w:cs="Calibri"/>
                <w:color w:val="000000"/>
                <w:sz w:val="22"/>
              </w:rPr>
              <w:t>Nagarjuna</w:t>
            </w:r>
            <w:proofErr w:type="spellEnd"/>
            <w:r w:rsidRPr="00CB09F9">
              <w:rPr>
                <w:rFonts w:eastAsia="Times New Roman" w:cs="Calibri"/>
                <w:color w:val="000000"/>
                <w:sz w:val="22"/>
              </w:rPr>
              <w:br/>
            </w:r>
            <w:proofErr w:type="spellStart"/>
            <w:r w:rsidRPr="00CB09F9">
              <w:rPr>
                <w:rFonts w:eastAsia="Times New Roman" w:cs="Calibri"/>
                <w:color w:val="000000"/>
                <w:sz w:val="22"/>
              </w:rPr>
              <w:lastRenderedPageBreak/>
              <w:t>Sagar</w:t>
            </w:r>
            <w:proofErr w:type="spellEnd"/>
            <w:r w:rsidRPr="00CB09F9">
              <w:rPr>
                <w:rFonts w:eastAsia="Times New Roman" w:cs="Calibri"/>
                <w:color w:val="000000"/>
                <w:sz w:val="22"/>
              </w:rPr>
              <w:t xml:space="preserve"> complex</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lastRenderedPageBreak/>
              <w:t>347</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347</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r w:rsidRPr="00CB09F9">
              <w:rPr>
                <w:rFonts w:eastAsia="Times New Roman" w:cs="Calibri"/>
                <w:color w:val="000000"/>
                <w:sz w:val="22"/>
              </w:rPr>
              <w:lastRenderedPageBreak/>
              <w:t>SLBHES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464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464</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r w:rsidRPr="00CB09F9">
              <w:rPr>
                <w:rFonts w:eastAsia="Times New Roman" w:cs="Calibri"/>
                <w:color w:val="000000"/>
                <w:sz w:val="22"/>
              </w:rPr>
              <w:t>LJHES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265</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265</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r w:rsidRPr="00CB09F9">
              <w:rPr>
                <w:rFonts w:eastAsia="Times New Roman" w:cs="Calibri"/>
                <w:color w:val="000000"/>
                <w:sz w:val="22"/>
              </w:rPr>
              <w:t>PCHES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124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124</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proofErr w:type="spellStart"/>
            <w:r w:rsidRPr="00CB09F9">
              <w:rPr>
                <w:rFonts w:eastAsia="Times New Roman" w:cs="Calibri"/>
                <w:color w:val="000000"/>
                <w:sz w:val="22"/>
              </w:rPr>
              <w:t>Pochampad</w:t>
            </w:r>
            <w:proofErr w:type="spellEnd"/>
            <w:r w:rsidRPr="00CB09F9">
              <w:rPr>
                <w:rFonts w:eastAsia="Times New Roman" w:cs="Calibri"/>
                <w:color w:val="000000"/>
                <w:sz w:val="22"/>
              </w:rPr>
              <w:t xml:space="preserve"> 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10</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r w:rsidRPr="00CB09F9">
              <w:rPr>
                <w:rFonts w:eastAsia="Times New Roman" w:cs="Calibri"/>
                <w:color w:val="000000"/>
                <w:sz w:val="22"/>
              </w:rPr>
              <w:t xml:space="preserve">Small </w:t>
            </w:r>
            <w:proofErr w:type="spellStart"/>
            <w:r w:rsidRPr="00CB09F9">
              <w:rPr>
                <w:rFonts w:eastAsia="Times New Roman" w:cs="Calibri"/>
                <w:color w:val="000000"/>
                <w:sz w:val="22"/>
              </w:rPr>
              <w:t>Hydel</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49</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49</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color w:val="000000"/>
                <w:sz w:val="22"/>
              </w:rPr>
            </w:pPr>
            <w:r w:rsidRPr="00CB09F9">
              <w:rPr>
                <w:rFonts w:eastAsia="Times New Roman" w:cs="Calibri"/>
                <w:color w:val="000000"/>
                <w:sz w:val="22"/>
              </w:rPr>
              <w:t xml:space="preserve">Mini </w:t>
            </w:r>
            <w:proofErr w:type="spellStart"/>
            <w:r w:rsidRPr="00CB09F9">
              <w:rPr>
                <w:rFonts w:eastAsia="Times New Roman" w:cs="Calibri"/>
                <w:color w:val="000000"/>
                <w:sz w:val="22"/>
              </w:rPr>
              <w:t>Hydel</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9</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9</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PJHES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62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62</w:t>
            </w:r>
          </w:p>
        </w:tc>
        <w:tc>
          <w:tcPr>
            <w:tcW w:w="1574"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TOTAL TS GENCO HYDRO</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1331</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1331</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1331</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 xml:space="preserve">TOTAL TS GENCO </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6543</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5747</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796</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 xml:space="preserve">Central Generating Stations </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 </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 </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 </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NTPC (SR)*</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181</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191</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NTPC (SR) Stage III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54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52</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Talcher</w:t>
            </w:r>
            <w:proofErr w:type="spellEnd"/>
            <w:r w:rsidRPr="00CB09F9">
              <w:rPr>
                <w:rFonts w:eastAsia="Times New Roman" w:cs="Calibri"/>
                <w:sz w:val="22"/>
              </w:rPr>
              <w:t xml:space="preserve"> Stage 2*</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110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172</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-62</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TSTPP</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712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712</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 xml:space="preserve">NTPC </w:t>
            </w:r>
            <w:proofErr w:type="spellStart"/>
            <w:r w:rsidRPr="00CB09F9">
              <w:rPr>
                <w:rFonts w:eastAsia="Times New Roman" w:cs="Calibri"/>
                <w:sz w:val="22"/>
              </w:rPr>
              <w:t>Simhadri</w:t>
            </w:r>
            <w:proofErr w:type="spellEnd"/>
            <w:r w:rsidRPr="00CB09F9">
              <w:rPr>
                <w:rFonts w:eastAsia="Times New Roman" w:cs="Calibri"/>
                <w:sz w:val="22"/>
              </w:rPr>
              <w:t xml:space="preserve"> Stage 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357</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668</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-311</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 xml:space="preserve">NTPC </w:t>
            </w:r>
            <w:proofErr w:type="spellStart"/>
            <w:r w:rsidRPr="00CB09F9">
              <w:rPr>
                <w:rFonts w:eastAsia="Times New Roman" w:cs="Calibri"/>
                <w:sz w:val="22"/>
              </w:rPr>
              <w:t>Simhadri</w:t>
            </w:r>
            <w:proofErr w:type="spellEnd"/>
            <w:r w:rsidRPr="00CB09F9">
              <w:rPr>
                <w:rFonts w:eastAsia="Times New Roman" w:cs="Calibri"/>
                <w:sz w:val="22"/>
              </w:rPr>
              <w:t xml:space="preserve"> Stage 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245</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363</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-118</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NLC TS II- Stage 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28</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33</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-5</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NLC TS II- Stage 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52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7</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46</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NPC-MAPS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NPC-</w:t>
            </w:r>
            <w:proofErr w:type="spellStart"/>
            <w:r w:rsidRPr="00CB09F9">
              <w:rPr>
                <w:rFonts w:eastAsia="Times New Roman" w:cs="Calibri"/>
                <w:sz w:val="22"/>
              </w:rPr>
              <w:t>Kaiga</w:t>
            </w:r>
            <w:proofErr w:type="spellEnd"/>
            <w:r w:rsidRPr="00CB09F9">
              <w:rPr>
                <w:rFonts w:eastAsia="Times New Roman" w:cs="Calibri"/>
                <w:sz w:val="22"/>
              </w:rPr>
              <w:t xml:space="preserve"> unit </w:t>
            </w:r>
            <w:proofErr w:type="spellStart"/>
            <w:r w:rsidRPr="00CB09F9">
              <w:rPr>
                <w:rFonts w:eastAsia="Times New Roman" w:cs="Calibri"/>
                <w:sz w:val="22"/>
              </w:rPr>
              <w:t>I&amp;ii</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NPC-</w:t>
            </w:r>
            <w:proofErr w:type="spellStart"/>
            <w:r w:rsidRPr="00CB09F9">
              <w:rPr>
                <w:rFonts w:eastAsia="Times New Roman" w:cs="Calibri"/>
                <w:sz w:val="22"/>
              </w:rPr>
              <w:t>Kaiga</w:t>
            </w:r>
            <w:proofErr w:type="spellEnd"/>
            <w:r w:rsidRPr="00CB09F9">
              <w:rPr>
                <w:rFonts w:eastAsia="Times New Roman" w:cs="Calibri"/>
                <w:sz w:val="22"/>
              </w:rPr>
              <w:t xml:space="preserve"> unit III&amp;IV</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0</w:t>
            </w:r>
          </w:p>
        </w:tc>
      </w:tr>
      <w:tr w:rsidR="00CB09F9" w:rsidRPr="00CB09F9" w:rsidTr="00CB09F9">
        <w:trPr>
          <w:trHeight w:val="573"/>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 xml:space="preserve">NPC </w:t>
            </w:r>
            <w:proofErr w:type="spellStart"/>
            <w:r w:rsidRPr="00CB09F9">
              <w:rPr>
                <w:rFonts w:eastAsia="Times New Roman" w:cs="Calibri"/>
                <w:sz w:val="22"/>
              </w:rPr>
              <w:t>Kudankulam</w:t>
            </w:r>
            <w:proofErr w:type="spellEnd"/>
            <w:r w:rsidRPr="00CB09F9">
              <w:rPr>
                <w:rFonts w:eastAsia="Times New Roman" w:cs="Calibri"/>
                <w:sz w:val="22"/>
              </w:rPr>
              <w:br/>
              <w:t>NPP Unit 2</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Vallur</w:t>
            </w:r>
            <w:proofErr w:type="spellEnd"/>
            <w:r w:rsidRPr="00CB09F9">
              <w:rPr>
                <w:rFonts w:eastAsia="Times New Roman" w:cs="Calibri"/>
                <w:sz w:val="22"/>
              </w:rPr>
              <w:t xml:space="preserve"> Thermal Power Plant</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219</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-219</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Tuticorin</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0</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 xml:space="preserve">NPC- </w:t>
            </w:r>
            <w:proofErr w:type="spellStart"/>
            <w:r w:rsidRPr="00CB09F9">
              <w:rPr>
                <w:rFonts w:eastAsia="Times New Roman" w:cs="Calibri"/>
                <w:sz w:val="22"/>
              </w:rPr>
              <w:t>Kudankulam</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0</w:t>
            </w:r>
          </w:p>
        </w:tc>
      </w:tr>
      <w:tr w:rsidR="00CB09F9" w:rsidRPr="00CB09F9" w:rsidTr="00CB09F9">
        <w:trPr>
          <w:trHeight w:val="573"/>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NLC Tamil Nadu</w:t>
            </w:r>
            <w:r w:rsidRPr="00CB09F9">
              <w:rPr>
                <w:rFonts w:eastAsia="Times New Roman" w:cs="Calibri"/>
                <w:sz w:val="22"/>
              </w:rPr>
              <w:br/>
              <w:t>Power Ltd</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171</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-171</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Kudigi</w:t>
            </w:r>
            <w:proofErr w:type="spellEnd"/>
            <w:r w:rsidRPr="00CB09F9">
              <w:rPr>
                <w:rFonts w:eastAsia="Times New Roman" w:cs="Calibri"/>
                <w:sz w:val="22"/>
              </w:rPr>
              <w:t>*</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294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347</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-53</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NNTPP*</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78</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80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Expn</w:t>
            </w:r>
            <w:proofErr w:type="spellEnd"/>
            <w:r w:rsidRPr="00CB09F9">
              <w:rPr>
                <w:rFonts w:eastAsia="Times New Roman" w:cs="Calibri"/>
                <w:sz w:val="22"/>
              </w:rPr>
              <w:t xml:space="preserve"> 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Expn</w:t>
            </w:r>
            <w:proofErr w:type="spellEnd"/>
            <w:r w:rsidRPr="00CB09F9">
              <w:rPr>
                <w:rFonts w:eastAsia="Times New Roman" w:cs="Calibri"/>
                <w:sz w:val="22"/>
              </w:rPr>
              <w:t xml:space="preserve"> 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2</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TOTAL CGS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2112</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2308</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-196</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proofErr w:type="spellStart"/>
            <w:r w:rsidRPr="00CB09F9">
              <w:rPr>
                <w:rFonts w:eastAsia="Times New Roman" w:cs="Calibri"/>
                <w:sz w:val="22"/>
              </w:rPr>
              <w:t>Singareni</w:t>
            </w:r>
            <w:proofErr w:type="spellEnd"/>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1416</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1399</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17</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Thermal Power Tech</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334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327</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8</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CSPGCL</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1526</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0</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1526</w:t>
            </w:r>
          </w:p>
        </w:tc>
      </w:tr>
      <w:tr w:rsidR="00CB09F9" w:rsidRPr="00CB09F9" w:rsidTr="00CB09F9">
        <w:trPr>
          <w:trHeight w:val="286"/>
          <w:jc w:val="center"/>
        </w:trPr>
        <w:tc>
          <w:tcPr>
            <w:tcW w:w="3296" w:type="dxa"/>
            <w:shd w:val="clear" w:color="auto" w:fill="auto"/>
            <w:vAlign w:val="center"/>
            <w:hideMark/>
          </w:tcPr>
          <w:p w:rsidR="00CB09F9" w:rsidRPr="00CB09F9" w:rsidRDefault="00CB09F9" w:rsidP="00CB09F9">
            <w:pPr>
              <w:spacing w:after="0" w:line="240" w:lineRule="auto"/>
              <w:rPr>
                <w:rFonts w:eastAsia="Times New Roman" w:cs="Calibri"/>
                <w:sz w:val="22"/>
              </w:rPr>
            </w:pPr>
            <w:r w:rsidRPr="00CB09F9">
              <w:rPr>
                <w:rFonts w:eastAsia="Times New Roman" w:cs="Calibri"/>
                <w:sz w:val="22"/>
              </w:rPr>
              <w:t>Thermal Power Tech Unit II</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1137</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color w:val="000000"/>
                <w:sz w:val="22"/>
              </w:rPr>
            </w:pPr>
            <w:r w:rsidRPr="00CB09F9">
              <w:rPr>
                <w:rFonts w:eastAsia="Times New Roman" w:cs="Calibri"/>
                <w:color w:val="000000"/>
                <w:sz w:val="22"/>
              </w:rPr>
              <w:t>1121</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16</w:t>
            </w:r>
          </w:p>
        </w:tc>
      </w:tr>
      <w:tr w:rsidR="00CB09F9" w:rsidRPr="00CB09F9" w:rsidTr="00CB09F9">
        <w:trPr>
          <w:trHeight w:val="28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t>TOTAL OTHERS</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4414</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2847</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1567</w:t>
            </w:r>
          </w:p>
        </w:tc>
      </w:tr>
      <w:tr w:rsidR="00CB09F9" w:rsidRPr="00CB09F9" w:rsidTr="00CB09F9">
        <w:trPr>
          <w:trHeight w:val="296"/>
          <w:jc w:val="center"/>
        </w:trPr>
        <w:tc>
          <w:tcPr>
            <w:tcW w:w="3296" w:type="dxa"/>
            <w:shd w:val="clear" w:color="auto" w:fill="auto"/>
            <w:noWrap/>
            <w:vAlign w:val="bottom"/>
            <w:hideMark/>
          </w:tcPr>
          <w:p w:rsidR="00CB09F9" w:rsidRPr="00CB09F9" w:rsidRDefault="00CB09F9" w:rsidP="00CB09F9">
            <w:pPr>
              <w:spacing w:after="0" w:line="240" w:lineRule="auto"/>
              <w:rPr>
                <w:rFonts w:eastAsia="Times New Roman" w:cs="Calibri"/>
                <w:b/>
                <w:bCs/>
                <w:sz w:val="22"/>
              </w:rPr>
            </w:pPr>
            <w:r w:rsidRPr="00CB09F9">
              <w:rPr>
                <w:rFonts w:eastAsia="Times New Roman" w:cs="Calibri"/>
                <w:b/>
                <w:bCs/>
                <w:sz w:val="22"/>
              </w:rPr>
              <w:lastRenderedPageBreak/>
              <w:t>TOTAL</w:t>
            </w:r>
          </w:p>
        </w:tc>
        <w:tc>
          <w:tcPr>
            <w:tcW w:w="1689"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13069</w:t>
            </w:r>
          </w:p>
        </w:tc>
        <w:tc>
          <w:tcPr>
            <w:tcW w:w="1755" w:type="dxa"/>
            <w:shd w:val="clear" w:color="auto" w:fill="auto"/>
            <w:noWrap/>
            <w:vAlign w:val="center"/>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10901</w:t>
            </w:r>
          </w:p>
        </w:tc>
        <w:tc>
          <w:tcPr>
            <w:tcW w:w="1574" w:type="dxa"/>
            <w:shd w:val="clear" w:color="auto" w:fill="auto"/>
            <w:noWrap/>
            <w:vAlign w:val="bottom"/>
            <w:hideMark/>
          </w:tcPr>
          <w:p w:rsidR="00CB09F9" w:rsidRPr="00CB09F9" w:rsidRDefault="00CB09F9" w:rsidP="00CB09F9">
            <w:pPr>
              <w:spacing w:after="0" w:line="240" w:lineRule="auto"/>
              <w:jc w:val="center"/>
              <w:rPr>
                <w:rFonts w:eastAsia="Times New Roman" w:cs="Calibri"/>
                <w:b/>
                <w:bCs/>
                <w:color w:val="000000"/>
                <w:sz w:val="22"/>
              </w:rPr>
            </w:pPr>
            <w:r w:rsidRPr="00CB09F9">
              <w:rPr>
                <w:rFonts w:eastAsia="Times New Roman" w:cs="Calibri"/>
                <w:b/>
                <w:bCs/>
                <w:color w:val="000000"/>
                <w:sz w:val="22"/>
              </w:rPr>
              <w:t>2168</w:t>
            </w:r>
          </w:p>
        </w:tc>
      </w:tr>
    </w:tbl>
    <w:p w:rsidR="0041771B" w:rsidRDefault="00CB09F9" w:rsidP="00CB09F9">
      <w:pPr>
        <w:ind w:left="720"/>
        <w:jc w:val="both"/>
      </w:pPr>
      <w:r>
        <w:t xml:space="preserve"> </w:t>
      </w:r>
      <w:r w:rsidRPr="00CB09F9">
        <w:t>* The higher fixed charges are on account of True Up of the Generating Stations</w:t>
      </w:r>
    </w:p>
    <w:p w:rsidR="0089216C" w:rsidRDefault="0089216C" w:rsidP="0089216C">
      <w:pPr>
        <w:pStyle w:val="Caption"/>
      </w:pPr>
      <w:r>
        <w:t xml:space="preserve">Table </w:t>
      </w:r>
      <w:r w:rsidR="008737D4">
        <w:fldChar w:fldCharType="begin"/>
      </w:r>
      <w:r w:rsidR="00E7272A">
        <w:instrText xml:space="preserve"> SEQ Table \* ARABIC </w:instrText>
      </w:r>
      <w:r w:rsidR="008737D4">
        <w:fldChar w:fldCharType="separate"/>
      </w:r>
      <w:r w:rsidR="00D41256">
        <w:rPr>
          <w:noProof/>
        </w:rPr>
        <w:t>11</w:t>
      </w:r>
      <w:r w:rsidR="008737D4">
        <w:rPr>
          <w:noProof/>
        </w:rPr>
        <w:fldChar w:fldCharType="end"/>
      </w:r>
      <w:r>
        <w:t xml:space="preserve"> Comparison of approved and actual Fixed Charges paid for FY 2023-24</w:t>
      </w:r>
    </w:p>
    <w:tbl>
      <w:tblPr>
        <w:tblW w:w="9230" w:type="dxa"/>
        <w:tblLook w:val="04A0"/>
      </w:tblPr>
      <w:tblGrid>
        <w:gridCol w:w="2245"/>
        <w:gridCol w:w="1466"/>
        <w:gridCol w:w="1835"/>
        <w:gridCol w:w="1846"/>
        <w:gridCol w:w="1838"/>
      </w:tblGrid>
      <w:tr w:rsidR="00CB09F9" w:rsidRPr="00572DAB" w:rsidTr="0089216C">
        <w:trPr>
          <w:trHeight w:val="505"/>
          <w:tblHeader/>
        </w:trPr>
        <w:tc>
          <w:tcPr>
            <w:tcW w:w="2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9F9" w:rsidRPr="00572DAB" w:rsidRDefault="0041423C" w:rsidP="00CB09F9">
            <w:pPr>
              <w:keepNext/>
              <w:keepLines/>
              <w:spacing w:before="240" w:after="0" w:line="240" w:lineRule="auto"/>
              <w:jc w:val="both"/>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Station Name</w:t>
            </w:r>
          </w:p>
        </w:tc>
        <w:tc>
          <w:tcPr>
            <w:tcW w:w="1466" w:type="dxa"/>
            <w:tcBorders>
              <w:top w:val="single" w:sz="4" w:space="0" w:color="auto"/>
              <w:left w:val="nil"/>
              <w:bottom w:val="single" w:sz="4" w:space="0" w:color="auto"/>
              <w:right w:val="single" w:sz="4" w:space="0" w:color="auto"/>
            </w:tcBorders>
            <w:shd w:val="clear" w:color="auto" w:fill="auto"/>
            <w:hideMark/>
          </w:tcPr>
          <w:p w:rsidR="00CB09F9" w:rsidRPr="00572DAB" w:rsidRDefault="0041423C" w:rsidP="00CB09F9">
            <w:pPr>
              <w:keepNext/>
              <w:keepLines/>
              <w:spacing w:before="240" w:after="0" w:line="240" w:lineRule="auto"/>
              <w:jc w:val="both"/>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Approved Fixed Charges (Rs Cr) for FY 2023-24</w:t>
            </w:r>
          </w:p>
        </w:tc>
        <w:tc>
          <w:tcPr>
            <w:tcW w:w="1835" w:type="dxa"/>
            <w:tcBorders>
              <w:top w:val="single" w:sz="4" w:space="0" w:color="auto"/>
              <w:left w:val="nil"/>
              <w:bottom w:val="single" w:sz="4" w:space="0" w:color="auto"/>
              <w:right w:val="single" w:sz="4" w:space="0" w:color="auto"/>
            </w:tcBorders>
            <w:shd w:val="clear" w:color="auto" w:fill="auto"/>
            <w:vAlign w:val="bottom"/>
            <w:hideMark/>
          </w:tcPr>
          <w:p w:rsidR="00CB09F9" w:rsidRPr="00572DAB" w:rsidRDefault="0041423C" w:rsidP="00CB09F9">
            <w:pPr>
              <w:keepNext/>
              <w:keepLines/>
              <w:spacing w:before="240" w:after="0" w:line="240" w:lineRule="auto"/>
              <w:jc w:val="both"/>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Approved Fixed Charges (Rs Cr) for FY 2023-24 Q1</w:t>
            </w:r>
          </w:p>
        </w:tc>
        <w:tc>
          <w:tcPr>
            <w:tcW w:w="1846" w:type="dxa"/>
            <w:tcBorders>
              <w:top w:val="single" w:sz="4" w:space="0" w:color="auto"/>
              <w:left w:val="nil"/>
              <w:bottom w:val="single" w:sz="4" w:space="0" w:color="auto"/>
              <w:right w:val="single" w:sz="4" w:space="0" w:color="auto"/>
            </w:tcBorders>
            <w:shd w:val="clear" w:color="auto" w:fill="auto"/>
            <w:noWrap/>
            <w:vAlign w:val="center"/>
            <w:hideMark/>
          </w:tcPr>
          <w:p w:rsidR="00CB09F9" w:rsidRPr="00572DAB" w:rsidRDefault="0041423C" w:rsidP="00CB09F9">
            <w:pPr>
              <w:keepNext/>
              <w:keepLines/>
              <w:spacing w:before="240" w:after="0" w:line="240" w:lineRule="auto"/>
              <w:jc w:val="both"/>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Actual Fixed Charges (Rs Cr)</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CB09F9" w:rsidRPr="00572DAB" w:rsidRDefault="0041423C" w:rsidP="00CB09F9">
            <w:pPr>
              <w:keepNext/>
              <w:keepLines/>
              <w:spacing w:before="240" w:after="0" w:line="240" w:lineRule="auto"/>
              <w:jc w:val="both"/>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Variation in Fixed Charges (Rs Cr)</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b/>
                <w:bCs/>
                <w:sz w:val="22"/>
                <w:u w:val="single"/>
              </w:rPr>
            </w:pPr>
            <w:r w:rsidRPr="0041423C">
              <w:rPr>
                <w:rFonts w:asciiTheme="minorHAnsi" w:eastAsia="Times New Roman" w:hAnsiTheme="minorHAnsi" w:cstheme="minorHAnsi"/>
                <w:b/>
                <w:bCs/>
                <w:sz w:val="22"/>
                <w:u w:val="single"/>
              </w:rPr>
              <w:t>TSGENCO</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754A1D">
            <w:pPr>
              <w:keepNext/>
              <w:keepLines/>
              <w:spacing w:after="0" w:line="240" w:lineRule="auto"/>
              <w:jc w:val="center"/>
              <w:outlineLvl w:val="0"/>
              <w:rPr>
                <w:rFonts w:asciiTheme="minorHAnsi" w:eastAsia="Times New Roman" w:hAnsiTheme="minorHAnsi" w:cstheme="minorHAnsi"/>
                <w:b/>
                <w:bCs/>
                <w:sz w:val="22"/>
                <w:u w:val="single"/>
              </w:rPr>
            </w:pP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754A1D">
            <w:pPr>
              <w:keepNext/>
              <w:keepLines/>
              <w:spacing w:after="0" w:line="240" w:lineRule="auto"/>
              <w:jc w:val="center"/>
              <w:outlineLvl w:val="0"/>
              <w:rPr>
                <w:rFonts w:asciiTheme="minorHAnsi" w:eastAsia="Times New Roman" w:hAnsiTheme="minorHAnsi" w:cstheme="minorHAnsi"/>
                <w:sz w:val="22"/>
              </w:rPr>
            </w:pP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754A1D">
            <w:pPr>
              <w:keepNext/>
              <w:keepLines/>
              <w:spacing w:after="0" w:line="240" w:lineRule="auto"/>
              <w:jc w:val="center"/>
              <w:outlineLvl w:val="0"/>
              <w:rPr>
                <w:rFonts w:asciiTheme="minorHAnsi" w:eastAsia="Times New Roman" w:hAnsiTheme="minorHAnsi" w:cstheme="minorHAnsi"/>
                <w:color w:val="000000"/>
                <w:sz w:val="22"/>
              </w:rPr>
            </w:pP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754A1D">
            <w:pPr>
              <w:keepNext/>
              <w:keepLines/>
              <w:spacing w:after="0" w:line="240" w:lineRule="auto"/>
              <w:jc w:val="center"/>
              <w:outlineLvl w:val="0"/>
              <w:rPr>
                <w:rFonts w:asciiTheme="minorHAnsi" w:eastAsia="Times New Roman" w:hAnsiTheme="minorHAnsi" w:cstheme="minorHAnsi"/>
                <w:color w:val="000000"/>
                <w:sz w:val="22"/>
              </w:rPr>
            </w:pP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KTPS-V</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394</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131</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96</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36</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KTPS-VI</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509</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170</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149</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20</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KTPS-VII</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1334</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445</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336</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108</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RTS-B</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117</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39</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22</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17</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KTPP-I</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402</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134</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105</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29</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KTPP-II</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749</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250</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187</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62</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BTPS</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1412</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471</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308</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163</w:t>
            </w:r>
          </w:p>
        </w:tc>
      </w:tr>
      <w:tr w:rsidR="00CB09F9" w:rsidRPr="00572DAB" w:rsidTr="00327C8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YTPS</w:t>
            </w:r>
          </w:p>
        </w:tc>
        <w:tc>
          <w:tcPr>
            <w:tcW w:w="146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111</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sz w:val="22"/>
              </w:rPr>
            </w:pPr>
            <w:r w:rsidRPr="0041423C">
              <w:rPr>
                <w:rFonts w:asciiTheme="minorHAnsi" w:eastAsia="Times New Roman" w:hAnsiTheme="minorHAnsi" w:cstheme="minorHAnsi"/>
                <w:sz w:val="22"/>
              </w:rPr>
              <w:t>37</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after="0" w:line="240" w:lineRule="auto"/>
              <w:jc w:val="center"/>
              <w:outlineLvl w:val="0"/>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37</w:t>
            </w:r>
          </w:p>
        </w:tc>
      </w:tr>
      <w:tr w:rsidR="00CB09F9" w:rsidRPr="00572DAB" w:rsidTr="00327C8C">
        <w:trPr>
          <w:trHeight w:val="144"/>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754A1D" w:rsidRDefault="0041423C">
            <w:pPr>
              <w:keepNext/>
              <w:keepLines/>
              <w:spacing w:after="0" w:line="240" w:lineRule="auto"/>
              <w:jc w:val="right"/>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Sub-total</w:t>
            </w:r>
          </w:p>
        </w:tc>
        <w:tc>
          <w:tcPr>
            <w:tcW w:w="1466" w:type="dxa"/>
            <w:tcBorders>
              <w:top w:val="nil"/>
              <w:left w:val="nil"/>
              <w:bottom w:val="single" w:sz="4" w:space="0" w:color="auto"/>
              <w:right w:val="single" w:sz="4" w:space="0" w:color="auto"/>
            </w:tcBorders>
            <w:shd w:val="clear" w:color="auto" w:fill="auto"/>
            <w:noWrap/>
            <w:hideMark/>
          </w:tcPr>
          <w:p w:rsidR="00754A1D" w:rsidRDefault="0041423C">
            <w:pPr>
              <w:keepNext/>
              <w:keepLines/>
              <w:spacing w:before="240" w:after="0" w:line="240" w:lineRule="auto"/>
              <w:jc w:val="center"/>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5028</w:t>
            </w:r>
          </w:p>
        </w:tc>
        <w:tc>
          <w:tcPr>
            <w:tcW w:w="1835"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before="240" w:after="0" w:line="240" w:lineRule="auto"/>
              <w:jc w:val="center"/>
              <w:outlineLvl w:val="0"/>
              <w:rPr>
                <w:rFonts w:asciiTheme="minorHAnsi" w:eastAsia="Times New Roman" w:hAnsiTheme="minorHAnsi" w:cstheme="minorHAnsi"/>
                <w:b/>
                <w:bCs/>
                <w:sz w:val="22"/>
              </w:rPr>
            </w:pPr>
            <w:r w:rsidRPr="0041423C">
              <w:rPr>
                <w:rFonts w:asciiTheme="minorHAnsi" w:eastAsia="Times New Roman" w:hAnsiTheme="minorHAnsi" w:cstheme="minorHAnsi"/>
                <w:b/>
                <w:bCs/>
                <w:sz w:val="22"/>
              </w:rPr>
              <w:t>1676</w:t>
            </w:r>
          </w:p>
        </w:tc>
        <w:tc>
          <w:tcPr>
            <w:tcW w:w="1846" w:type="dxa"/>
            <w:tcBorders>
              <w:top w:val="nil"/>
              <w:left w:val="nil"/>
              <w:bottom w:val="single" w:sz="4" w:space="0" w:color="auto"/>
              <w:right w:val="single" w:sz="4" w:space="0" w:color="auto"/>
            </w:tcBorders>
            <w:shd w:val="clear" w:color="auto" w:fill="auto"/>
            <w:noWrap/>
            <w:vAlign w:val="center"/>
            <w:hideMark/>
          </w:tcPr>
          <w:p w:rsidR="00754A1D" w:rsidRDefault="0041423C">
            <w:pPr>
              <w:keepNext/>
              <w:keepLines/>
              <w:spacing w:before="240" w:after="0" w:line="240" w:lineRule="auto"/>
              <w:jc w:val="center"/>
              <w:outlineLvl w:val="0"/>
              <w:rPr>
                <w:rFonts w:asciiTheme="minorHAnsi" w:eastAsia="Times New Roman" w:hAnsiTheme="minorHAnsi" w:cstheme="minorHAnsi"/>
                <w:b/>
                <w:bCs/>
                <w:color w:val="000000"/>
                <w:sz w:val="22"/>
              </w:rPr>
            </w:pPr>
            <w:r w:rsidRPr="0041423C">
              <w:rPr>
                <w:rFonts w:asciiTheme="minorHAnsi" w:eastAsia="Times New Roman" w:hAnsiTheme="minorHAnsi" w:cstheme="minorHAnsi"/>
                <w:b/>
                <w:bCs/>
                <w:color w:val="000000"/>
                <w:sz w:val="22"/>
              </w:rPr>
              <w:t>1203</w:t>
            </w:r>
          </w:p>
        </w:tc>
        <w:tc>
          <w:tcPr>
            <w:tcW w:w="1838" w:type="dxa"/>
            <w:tcBorders>
              <w:top w:val="nil"/>
              <w:left w:val="nil"/>
              <w:bottom w:val="single" w:sz="4" w:space="0" w:color="auto"/>
              <w:right w:val="single" w:sz="4" w:space="0" w:color="auto"/>
            </w:tcBorders>
            <w:shd w:val="clear" w:color="auto" w:fill="auto"/>
            <w:noWrap/>
            <w:vAlign w:val="center"/>
            <w:hideMark/>
          </w:tcPr>
          <w:p w:rsidR="00754A1D" w:rsidRDefault="0041423C">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472</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b/>
                <w:bCs/>
                <w:sz w:val="22"/>
                <w:u w:val="single"/>
              </w:rPr>
            </w:pPr>
            <w:proofErr w:type="spellStart"/>
            <w:r w:rsidRPr="0041423C">
              <w:rPr>
                <w:rFonts w:asciiTheme="minorHAnsi" w:eastAsia="Times New Roman" w:hAnsiTheme="minorHAnsi" w:cstheme="minorHAnsi"/>
                <w:b/>
                <w:bCs/>
                <w:sz w:val="22"/>
                <w:u w:val="single"/>
              </w:rPr>
              <w:t>TSGenco-Hydel</w:t>
            </w:r>
            <w:proofErr w:type="spellEnd"/>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u w:val="single"/>
              </w:rPr>
            </w:pPr>
            <w:r w:rsidRPr="0041423C">
              <w:rPr>
                <w:rFonts w:asciiTheme="minorHAnsi" w:eastAsia="Times New Roman" w:hAnsiTheme="minorHAnsi" w:cstheme="minorHAnsi"/>
                <w:b/>
                <w:bCs/>
                <w:sz w:val="22"/>
                <w:u w:val="single"/>
              </w:rPr>
              <w:t> </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 </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PJHES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49</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13</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proofErr w:type="spellStart"/>
            <w:r w:rsidRPr="0041423C">
              <w:rPr>
                <w:rFonts w:asciiTheme="minorHAnsi" w:eastAsia="Times New Roman" w:hAnsiTheme="minorHAnsi" w:cstheme="minorHAnsi"/>
                <w:color w:val="000000"/>
                <w:sz w:val="22"/>
              </w:rPr>
              <w:t>Nagarjuna</w:t>
            </w:r>
            <w:proofErr w:type="spellEnd"/>
            <w:r w:rsidRPr="0041423C">
              <w:rPr>
                <w:rFonts w:asciiTheme="minorHAnsi" w:eastAsia="Times New Roman" w:hAnsiTheme="minorHAnsi" w:cstheme="minorHAnsi"/>
                <w:color w:val="000000"/>
                <w:sz w:val="22"/>
              </w:rPr>
              <w:t xml:space="preserve"> </w:t>
            </w:r>
            <w:proofErr w:type="spellStart"/>
            <w:r w:rsidRPr="0041423C">
              <w:rPr>
                <w:rFonts w:asciiTheme="minorHAnsi" w:eastAsia="Times New Roman" w:hAnsiTheme="minorHAnsi" w:cstheme="minorHAnsi"/>
                <w:color w:val="000000"/>
                <w:sz w:val="22"/>
              </w:rPr>
              <w:t>Sagar</w:t>
            </w:r>
            <w:proofErr w:type="spellEnd"/>
            <w:r w:rsidRPr="0041423C">
              <w:rPr>
                <w:rFonts w:asciiTheme="minorHAnsi" w:eastAsia="Times New Roman" w:hAnsiTheme="minorHAnsi" w:cstheme="minorHAnsi"/>
                <w:color w:val="000000"/>
                <w:sz w:val="22"/>
              </w:rPr>
              <w:t xml:space="preserve"> Complex</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321</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107</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82</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25</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SLBHES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425</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142</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109</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32</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LJHES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259</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86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66</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PCHES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92</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31</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23</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proofErr w:type="spellStart"/>
            <w:r w:rsidRPr="0041423C">
              <w:rPr>
                <w:rFonts w:asciiTheme="minorHAnsi" w:eastAsia="Times New Roman" w:hAnsiTheme="minorHAnsi" w:cstheme="minorHAnsi"/>
                <w:color w:val="000000"/>
                <w:sz w:val="22"/>
              </w:rPr>
              <w:t>Pochampad</w:t>
            </w:r>
            <w:proofErr w:type="spellEnd"/>
            <w:r w:rsidRPr="0041423C">
              <w:rPr>
                <w:rFonts w:asciiTheme="minorHAnsi" w:eastAsia="Times New Roman" w:hAnsiTheme="minorHAnsi" w:cstheme="minorHAnsi"/>
                <w:color w:val="000000"/>
                <w:sz w:val="22"/>
              </w:rPr>
              <w:t xml:space="preserve"> II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3</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Small </w:t>
            </w:r>
            <w:proofErr w:type="spellStart"/>
            <w:r w:rsidRPr="0041423C">
              <w:rPr>
                <w:rFonts w:asciiTheme="minorHAnsi" w:eastAsia="Times New Roman" w:hAnsiTheme="minorHAnsi" w:cstheme="minorHAnsi"/>
                <w:color w:val="000000"/>
                <w:sz w:val="22"/>
              </w:rPr>
              <w:t>Hydel</w:t>
            </w:r>
            <w:proofErr w:type="spellEnd"/>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57</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19</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13</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6</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Mini </w:t>
            </w:r>
            <w:proofErr w:type="spellStart"/>
            <w:r w:rsidRPr="0041423C">
              <w:rPr>
                <w:rFonts w:asciiTheme="minorHAnsi" w:eastAsia="Times New Roman" w:hAnsiTheme="minorHAnsi" w:cstheme="minorHAnsi"/>
                <w:color w:val="000000"/>
                <w:sz w:val="22"/>
              </w:rPr>
              <w:t>Hydel</w:t>
            </w:r>
            <w:proofErr w:type="spellEnd"/>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3</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41423C" w:rsidRPr="0041423C" w:rsidRDefault="0041423C" w:rsidP="0041423C">
            <w:pPr>
              <w:spacing w:after="0" w:line="240" w:lineRule="auto"/>
              <w:rPr>
                <w:rFonts w:asciiTheme="minorHAnsi" w:eastAsia="Times New Roman" w:hAnsiTheme="minorHAnsi" w:cstheme="minorHAnsi"/>
                <w:b/>
                <w:bCs/>
                <w:sz w:val="22"/>
              </w:rPr>
            </w:pPr>
            <w:r w:rsidRPr="0041423C">
              <w:rPr>
                <w:rFonts w:asciiTheme="minorHAnsi" w:eastAsia="Times New Roman" w:hAnsiTheme="minorHAnsi" w:cstheme="minorHAnsi"/>
                <w:b/>
                <w:bCs/>
                <w:sz w:val="22"/>
              </w:rPr>
              <w:t>Sub-total</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1224</w:t>
            </w:r>
          </w:p>
        </w:tc>
        <w:tc>
          <w:tcPr>
            <w:tcW w:w="1835"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408</w:t>
            </w:r>
          </w:p>
        </w:tc>
        <w:tc>
          <w:tcPr>
            <w:tcW w:w="184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311</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97</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b/>
                <w:bCs/>
                <w:sz w:val="22"/>
              </w:rPr>
            </w:pPr>
            <w:r w:rsidRPr="0041423C">
              <w:rPr>
                <w:rFonts w:asciiTheme="minorHAnsi" w:eastAsia="Times New Roman" w:hAnsiTheme="minorHAnsi" w:cstheme="minorHAnsi"/>
                <w:b/>
                <w:bCs/>
                <w:sz w:val="22"/>
              </w:rPr>
              <w:t xml:space="preserve">TSGENCO Total </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6252</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2084</w:t>
            </w:r>
          </w:p>
        </w:tc>
        <w:tc>
          <w:tcPr>
            <w:tcW w:w="184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1514</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570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b/>
                <w:bCs/>
                <w:sz w:val="22"/>
                <w:u w:val="single"/>
              </w:rPr>
            </w:pPr>
            <w:r w:rsidRPr="0041423C">
              <w:rPr>
                <w:rFonts w:asciiTheme="minorHAnsi" w:eastAsia="Times New Roman" w:hAnsiTheme="minorHAnsi" w:cstheme="minorHAnsi"/>
                <w:b/>
                <w:bCs/>
                <w:sz w:val="22"/>
                <w:u w:val="single"/>
              </w:rPr>
              <w:t>CGS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u w:val="single"/>
              </w:rPr>
            </w:pPr>
            <w:r w:rsidRPr="0041423C">
              <w:rPr>
                <w:rFonts w:asciiTheme="minorHAnsi" w:eastAsia="Times New Roman" w:hAnsiTheme="minorHAnsi" w:cstheme="minorHAnsi"/>
                <w:b/>
                <w:bCs/>
                <w:sz w:val="22"/>
                <w:u w:val="single"/>
              </w:rPr>
              <w:t> </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 </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w:t>
            </w:r>
          </w:p>
        </w:tc>
        <w:tc>
          <w:tcPr>
            <w:tcW w:w="1838" w:type="dxa"/>
            <w:tcBorders>
              <w:top w:val="nil"/>
              <w:left w:val="nil"/>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NPC Madras APS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NPC </w:t>
            </w:r>
            <w:proofErr w:type="spellStart"/>
            <w:r w:rsidRPr="0041423C">
              <w:rPr>
                <w:rFonts w:asciiTheme="minorHAnsi" w:eastAsia="Times New Roman" w:hAnsiTheme="minorHAnsi" w:cstheme="minorHAnsi"/>
                <w:color w:val="000000"/>
                <w:sz w:val="22"/>
              </w:rPr>
              <w:t>Kaiga</w:t>
            </w:r>
            <w:proofErr w:type="spellEnd"/>
            <w:r w:rsidRPr="0041423C">
              <w:rPr>
                <w:rFonts w:asciiTheme="minorHAnsi" w:eastAsia="Times New Roman" w:hAnsiTheme="minorHAnsi" w:cstheme="minorHAnsi"/>
                <w:color w:val="000000"/>
                <w:sz w:val="22"/>
              </w:rPr>
              <w:t xml:space="preserve"> APS Units 1 &amp; 2</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NPC </w:t>
            </w:r>
            <w:proofErr w:type="spellStart"/>
            <w:r w:rsidRPr="0041423C">
              <w:rPr>
                <w:rFonts w:asciiTheme="minorHAnsi" w:eastAsia="Times New Roman" w:hAnsiTheme="minorHAnsi" w:cstheme="minorHAnsi"/>
                <w:color w:val="000000"/>
                <w:sz w:val="22"/>
              </w:rPr>
              <w:t>Kaiga</w:t>
            </w:r>
            <w:proofErr w:type="spellEnd"/>
            <w:r w:rsidRPr="0041423C">
              <w:rPr>
                <w:rFonts w:asciiTheme="minorHAnsi" w:eastAsia="Times New Roman" w:hAnsiTheme="minorHAnsi" w:cstheme="minorHAnsi"/>
                <w:color w:val="000000"/>
                <w:sz w:val="22"/>
              </w:rPr>
              <w:t xml:space="preserve"> APS Units 3 &amp; 4</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NPC </w:t>
            </w:r>
            <w:proofErr w:type="spellStart"/>
            <w:r w:rsidRPr="0041423C">
              <w:rPr>
                <w:rFonts w:asciiTheme="minorHAnsi" w:eastAsia="Times New Roman" w:hAnsiTheme="minorHAnsi" w:cstheme="minorHAnsi"/>
                <w:color w:val="000000"/>
                <w:sz w:val="22"/>
              </w:rPr>
              <w:t>Kudankulam</w:t>
            </w:r>
            <w:proofErr w:type="spellEnd"/>
            <w:r w:rsidRPr="0041423C">
              <w:rPr>
                <w:rFonts w:asciiTheme="minorHAnsi" w:eastAsia="Times New Roman" w:hAnsiTheme="minorHAnsi" w:cstheme="minorHAnsi"/>
                <w:color w:val="000000"/>
                <w:sz w:val="22"/>
              </w:rPr>
              <w:t xml:space="preserve"> NPP Unit 2</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NTPC(ER) - Farakka-1</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lastRenderedPageBreak/>
              <w:t>NTPC(ER)-</w:t>
            </w:r>
            <w:proofErr w:type="spellStart"/>
            <w:r w:rsidRPr="0041423C">
              <w:rPr>
                <w:rFonts w:asciiTheme="minorHAnsi" w:eastAsia="Times New Roman" w:hAnsiTheme="minorHAnsi" w:cstheme="minorHAnsi"/>
                <w:color w:val="000000"/>
                <w:sz w:val="22"/>
              </w:rPr>
              <w:t>Kahalgaon</w:t>
            </w:r>
            <w:proofErr w:type="spellEnd"/>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NTPC(ER)-</w:t>
            </w:r>
            <w:proofErr w:type="spellStart"/>
            <w:r w:rsidRPr="0041423C">
              <w:rPr>
                <w:rFonts w:asciiTheme="minorHAnsi" w:eastAsia="Times New Roman" w:hAnsiTheme="minorHAnsi" w:cstheme="minorHAnsi"/>
                <w:color w:val="000000"/>
                <w:sz w:val="22"/>
              </w:rPr>
              <w:t>Talcher</w:t>
            </w:r>
            <w:proofErr w:type="spellEnd"/>
            <w:r w:rsidRPr="0041423C">
              <w:rPr>
                <w:rFonts w:asciiTheme="minorHAnsi" w:eastAsia="Times New Roman" w:hAnsiTheme="minorHAnsi" w:cstheme="minorHAnsi"/>
                <w:color w:val="000000"/>
                <w:sz w:val="22"/>
              </w:rPr>
              <w:t>-I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FGTPS 2 </w:t>
            </w:r>
            <w:proofErr w:type="spellStart"/>
            <w:r w:rsidRPr="0041423C">
              <w:rPr>
                <w:rFonts w:asciiTheme="minorHAnsi" w:eastAsia="Times New Roman" w:hAnsiTheme="minorHAnsi" w:cstheme="minorHAnsi"/>
                <w:color w:val="000000"/>
                <w:sz w:val="22"/>
              </w:rPr>
              <w:t>Pushp</w:t>
            </w:r>
            <w:proofErr w:type="spellEnd"/>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NSTPS 1 </w:t>
            </w:r>
            <w:proofErr w:type="spellStart"/>
            <w:r w:rsidRPr="0041423C">
              <w:rPr>
                <w:rFonts w:asciiTheme="minorHAnsi" w:eastAsia="Times New Roman" w:hAnsiTheme="minorHAnsi" w:cstheme="minorHAnsi"/>
                <w:color w:val="000000"/>
                <w:sz w:val="22"/>
              </w:rPr>
              <w:t>Pushp</w:t>
            </w:r>
            <w:proofErr w:type="spellEnd"/>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w:t>
            </w:r>
            <w:proofErr w:type="spellStart"/>
            <w:r w:rsidRPr="0041423C">
              <w:rPr>
                <w:rFonts w:asciiTheme="minorHAnsi" w:eastAsia="Times New Roman" w:hAnsiTheme="minorHAnsi" w:cstheme="minorHAnsi"/>
                <w:color w:val="000000"/>
                <w:sz w:val="22"/>
              </w:rPr>
              <w:t>Ramagundam</w:t>
            </w:r>
            <w:proofErr w:type="spellEnd"/>
            <w:r w:rsidRPr="0041423C">
              <w:rPr>
                <w:rFonts w:asciiTheme="minorHAnsi" w:eastAsia="Times New Roman" w:hAnsiTheme="minorHAnsi" w:cstheme="minorHAnsi"/>
                <w:color w:val="000000"/>
                <w:sz w:val="22"/>
              </w:rPr>
              <w:t xml:space="preserve"> Stage I &amp; II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178</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59</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43</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16</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w:t>
            </w:r>
            <w:proofErr w:type="spellStart"/>
            <w:r w:rsidRPr="0041423C">
              <w:rPr>
                <w:rFonts w:asciiTheme="minorHAnsi" w:eastAsia="Times New Roman" w:hAnsiTheme="minorHAnsi" w:cstheme="minorHAnsi"/>
                <w:color w:val="000000"/>
                <w:sz w:val="22"/>
              </w:rPr>
              <w:t>Ramagundam</w:t>
            </w:r>
            <w:proofErr w:type="spellEnd"/>
            <w:r w:rsidRPr="0041423C">
              <w:rPr>
                <w:rFonts w:asciiTheme="minorHAnsi" w:eastAsia="Times New Roman" w:hAnsiTheme="minorHAnsi" w:cstheme="minorHAnsi"/>
                <w:color w:val="000000"/>
                <w:sz w:val="22"/>
              </w:rPr>
              <w:t xml:space="preserve"> Stage III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53</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18</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16</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w:t>
            </w:r>
            <w:proofErr w:type="spellStart"/>
            <w:r w:rsidRPr="0041423C">
              <w:rPr>
                <w:rFonts w:asciiTheme="minorHAnsi" w:eastAsia="Times New Roman" w:hAnsiTheme="minorHAnsi" w:cstheme="minorHAnsi"/>
                <w:color w:val="000000"/>
                <w:sz w:val="22"/>
              </w:rPr>
              <w:t>Simhadri</w:t>
            </w:r>
            <w:proofErr w:type="spellEnd"/>
            <w:r w:rsidRPr="0041423C">
              <w:rPr>
                <w:rFonts w:asciiTheme="minorHAnsi" w:eastAsia="Times New Roman" w:hAnsiTheme="minorHAnsi" w:cstheme="minorHAnsi"/>
                <w:color w:val="000000"/>
                <w:sz w:val="22"/>
              </w:rPr>
              <w:t xml:space="preserve"> Stage 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357</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119</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140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w:t>
            </w:r>
            <w:proofErr w:type="spellStart"/>
            <w:r w:rsidRPr="0041423C">
              <w:rPr>
                <w:rFonts w:asciiTheme="minorHAnsi" w:eastAsia="Times New Roman" w:hAnsiTheme="minorHAnsi" w:cstheme="minorHAnsi"/>
                <w:color w:val="000000"/>
                <w:sz w:val="22"/>
              </w:rPr>
              <w:t>Simhadri</w:t>
            </w:r>
            <w:proofErr w:type="spellEnd"/>
            <w:r w:rsidRPr="0041423C">
              <w:rPr>
                <w:rFonts w:asciiTheme="minorHAnsi" w:eastAsia="Times New Roman" w:hAnsiTheme="minorHAnsi" w:cstheme="minorHAnsi"/>
                <w:color w:val="000000"/>
                <w:sz w:val="22"/>
              </w:rPr>
              <w:t xml:space="preserve"> Stage II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258</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86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80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6</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w:t>
            </w:r>
            <w:proofErr w:type="spellStart"/>
            <w:r w:rsidRPr="0041423C">
              <w:rPr>
                <w:rFonts w:asciiTheme="minorHAnsi" w:eastAsia="Times New Roman" w:hAnsiTheme="minorHAnsi" w:cstheme="minorHAnsi"/>
                <w:color w:val="000000"/>
                <w:sz w:val="22"/>
              </w:rPr>
              <w:t>Talcher</w:t>
            </w:r>
            <w:proofErr w:type="spellEnd"/>
            <w:r w:rsidRPr="0041423C">
              <w:rPr>
                <w:rFonts w:asciiTheme="minorHAnsi" w:eastAsia="Times New Roman" w:hAnsiTheme="minorHAnsi" w:cstheme="minorHAnsi"/>
                <w:color w:val="000000"/>
                <w:sz w:val="22"/>
              </w:rPr>
              <w:t xml:space="preserve"> TPS II*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109</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36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41</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NTPC </w:t>
            </w:r>
            <w:proofErr w:type="spellStart"/>
            <w:r w:rsidRPr="0041423C">
              <w:rPr>
                <w:rFonts w:asciiTheme="minorHAnsi" w:eastAsia="Times New Roman" w:hAnsiTheme="minorHAnsi" w:cstheme="minorHAnsi"/>
                <w:color w:val="000000"/>
                <w:sz w:val="22"/>
              </w:rPr>
              <w:t>Kudgi</w:t>
            </w:r>
            <w:proofErr w:type="spellEnd"/>
            <w:r w:rsidRPr="0041423C">
              <w:rPr>
                <w:rFonts w:asciiTheme="minorHAnsi" w:eastAsia="Times New Roman" w:hAnsiTheme="minorHAnsi" w:cstheme="minorHAnsi"/>
                <w:color w:val="000000"/>
                <w:sz w:val="22"/>
              </w:rPr>
              <w:t>*</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286</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95</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102</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NLC TPS II Stage 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NLC TPS II Stage II</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NNTPP</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78</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26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6</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proofErr w:type="spellStart"/>
            <w:r w:rsidRPr="0041423C">
              <w:rPr>
                <w:rFonts w:asciiTheme="minorHAnsi" w:eastAsia="Times New Roman" w:hAnsiTheme="minorHAnsi" w:cstheme="minorHAnsi"/>
                <w:color w:val="000000"/>
                <w:sz w:val="22"/>
              </w:rPr>
              <w:t>Neyveli</w:t>
            </w:r>
            <w:proofErr w:type="spellEnd"/>
            <w:r w:rsidRPr="0041423C">
              <w:rPr>
                <w:rFonts w:asciiTheme="minorHAnsi" w:eastAsia="Times New Roman" w:hAnsiTheme="minorHAnsi" w:cstheme="minorHAnsi"/>
                <w:color w:val="000000"/>
                <w:sz w:val="22"/>
              </w:rPr>
              <w:t xml:space="preserve"> New Unit - 1</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proofErr w:type="spellStart"/>
            <w:r w:rsidRPr="0041423C">
              <w:rPr>
                <w:rFonts w:asciiTheme="minorHAnsi" w:eastAsia="Times New Roman" w:hAnsiTheme="minorHAnsi" w:cstheme="minorHAnsi"/>
                <w:color w:val="000000"/>
                <w:sz w:val="22"/>
              </w:rPr>
              <w:t>Neyveli</w:t>
            </w:r>
            <w:proofErr w:type="spellEnd"/>
            <w:r w:rsidRPr="0041423C">
              <w:rPr>
                <w:rFonts w:asciiTheme="minorHAnsi" w:eastAsia="Times New Roman" w:hAnsiTheme="minorHAnsi" w:cstheme="minorHAnsi"/>
                <w:color w:val="000000"/>
                <w:sz w:val="22"/>
              </w:rPr>
              <w:t xml:space="preserve"> New Unit - 2</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2</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TSTPP Unit 1</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1518</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506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506</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NTECL </w:t>
            </w:r>
            <w:proofErr w:type="spellStart"/>
            <w:r w:rsidRPr="0041423C">
              <w:rPr>
                <w:rFonts w:asciiTheme="minorHAnsi" w:eastAsia="Times New Roman" w:hAnsiTheme="minorHAnsi" w:cstheme="minorHAnsi"/>
                <w:color w:val="000000"/>
                <w:sz w:val="22"/>
              </w:rPr>
              <w:t>Vallur</w:t>
            </w:r>
            <w:proofErr w:type="spellEnd"/>
            <w:r w:rsidRPr="0041423C">
              <w:rPr>
                <w:rFonts w:asciiTheme="minorHAnsi" w:eastAsia="Times New Roman" w:hAnsiTheme="minorHAnsi" w:cstheme="minorHAnsi"/>
                <w:color w:val="000000"/>
                <w:sz w:val="22"/>
              </w:rPr>
              <w:t xml:space="preserve"> TPS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-30</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xml:space="preserve">NLC </w:t>
            </w:r>
            <w:proofErr w:type="spellStart"/>
            <w:r w:rsidRPr="0041423C">
              <w:rPr>
                <w:rFonts w:asciiTheme="minorHAnsi" w:eastAsia="Times New Roman" w:hAnsiTheme="minorHAnsi" w:cstheme="minorHAnsi"/>
                <w:color w:val="000000"/>
                <w:sz w:val="22"/>
              </w:rPr>
              <w:t>Tamilnadu</w:t>
            </w:r>
            <w:proofErr w:type="spellEnd"/>
            <w:r w:rsidRPr="0041423C">
              <w:rPr>
                <w:rFonts w:asciiTheme="minorHAnsi" w:eastAsia="Times New Roman" w:hAnsiTheme="minorHAnsi" w:cstheme="minorHAnsi"/>
                <w:color w:val="000000"/>
                <w:sz w:val="22"/>
              </w:rPr>
              <w:t xml:space="preserve"> Power Ltd.,</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0</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38</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-38</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CGS TOTAL</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2854</w:t>
            </w:r>
          </w:p>
        </w:tc>
        <w:tc>
          <w:tcPr>
            <w:tcW w:w="1835"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951</w:t>
            </w:r>
          </w:p>
        </w:tc>
        <w:tc>
          <w:tcPr>
            <w:tcW w:w="184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514</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437</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b/>
                <w:bCs/>
                <w:sz w:val="22"/>
              </w:rPr>
            </w:pPr>
            <w:r w:rsidRPr="0041423C">
              <w:rPr>
                <w:rFonts w:asciiTheme="minorHAnsi" w:eastAsia="Times New Roman" w:hAnsiTheme="minorHAnsi" w:cstheme="minorHAnsi"/>
                <w:b/>
                <w:bCs/>
                <w:sz w:val="22"/>
              </w:rPr>
              <w:t>Others</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 </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 </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 </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SEIL (LT 1) 269.45 MW</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318</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106</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79</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27</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SEIL (LT 2) 570 MW</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1135</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378</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280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98</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STPP</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1330</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443</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332</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111</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CSPDCL</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1486</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sz w:val="22"/>
              </w:rPr>
            </w:pPr>
            <w:r w:rsidRPr="0041423C">
              <w:rPr>
                <w:rFonts w:asciiTheme="minorHAnsi" w:eastAsia="Times New Roman" w:hAnsiTheme="minorHAnsi" w:cstheme="minorHAnsi"/>
                <w:sz w:val="22"/>
              </w:rPr>
              <w:t>495</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495</w:t>
            </w:r>
          </w:p>
        </w:tc>
      </w:tr>
      <w:tr w:rsidR="00CB09F9" w:rsidRPr="00572DAB" w:rsidTr="0089216C">
        <w:trPr>
          <w:trHeight w:val="27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41423C" w:rsidRPr="0041423C" w:rsidRDefault="0041423C" w:rsidP="0041423C">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Sub-TOTAL</w:t>
            </w:r>
          </w:p>
        </w:tc>
        <w:tc>
          <w:tcPr>
            <w:tcW w:w="1466" w:type="dxa"/>
            <w:tcBorders>
              <w:top w:val="nil"/>
              <w:left w:val="nil"/>
              <w:bottom w:val="single" w:sz="4" w:space="0" w:color="auto"/>
              <w:right w:val="single" w:sz="4" w:space="0" w:color="auto"/>
            </w:tcBorders>
            <w:shd w:val="clear" w:color="auto" w:fill="auto"/>
            <w:noWrap/>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4268</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1423</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color w:val="000000"/>
                <w:sz w:val="22"/>
              </w:rPr>
            </w:pPr>
            <w:r w:rsidRPr="0041423C">
              <w:rPr>
                <w:rFonts w:asciiTheme="minorHAnsi" w:eastAsia="Times New Roman" w:hAnsiTheme="minorHAnsi" w:cstheme="minorHAnsi"/>
                <w:b/>
                <w:bCs/>
                <w:color w:val="000000"/>
                <w:sz w:val="22"/>
              </w:rPr>
              <w:t>692</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color w:val="000000"/>
                <w:sz w:val="22"/>
              </w:rPr>
            </w:pPr>
            <w:r w:rsidRPr="0041423C">
              <w:rPr>
                <w:rFonts w:asciiTheme="minorHAnsi" w:eastAsia="Times New Roman" w:hAnsiTheme="minorHAnsi" w:cstheme="minorHAnsi"/>
                <w:color w:val="000000"/>
                <w:sz w:val="22"/>
              </w:rPr>
              <w:t>731</w:t>
            </w:r>
          </w:p>
        </w:tc>
      </w:tr>
      <w:tr w:rsidR="00CB09F9" w:rsidRPr="00572DAB" w:rsidTr="0089216C">
        <w:trPr>
          <w:trHeight w:val="286"/>
        </w:trPr>
        <w:tc>
          <w:tcPr>
            <w:tcW w:w="2245" w:type="dxa"/>
            <w:tcBorders>
              <w:top w:val="nil"/>
              <w:left w:val="single" w:sz="4" w:space="0" w:color="auto"/>
              <w:bottom w:val="single" w:sz="4" w:space="0" w:color="auto"/>
              <w:right w:val="single" w:sz="4" w:space="0" w:color="auto"/>
            </w:tcBorders>
            <w:shd w:val="clear" w:color="auto" w:fill="auto"/>
            <w:noWrap/>
            <w:vAlign w:val="bottom"/>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TOTAL</w:t>
            </w:r>
          </w:p>
        </w:tc>
        <w:tc>
          <w:tcPr>
            <w:tcW w:w="146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13374</w:t>
            </w:r>
          </w:p>
        </w:tc>
        <w:tc>
          <w:tcPr>
            <w:tcW w:w="1835"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4458</w:t>
            </w:r>
          </w:p>
        </w:tc>
        <w:tc>
          <w:tcPr>
            <w:tcW w:w="1846"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sz w:val="22"/>
              </w:rPr>
            </w:pPr>
            <w:r w:rsidRPr="0041423C">
              <w:rPr>
                <w:rFonts w:asciiTheme="minorHAnsi" w:eastAsia="Times New Roman" w:hAnsiTheme="minorHAnsi" w:cstheme="minorHAnsi"/>
                <w:b/>
                <w:bCs/>
                <w:sz w:val="22"/>
              </w:rPr>
              <w:t>2720</w:t>
            </w:r>
          </w:p>
        </w:tc>
        <w:tc>
          <w:tcPr>
            <w:tcW w:w="1838" w:type="dxa"/>
            <w:tcBorders>
              <w:top w:val="nil"/>
              <w:left w:val="nil"/>
              <w:bottom w:val="single" w:sz="4" w:space="0" w:color="auto"/>
              <w:right w:val="single" w:sz="4" w:space="0" w:color="auto"/>
            </w:tcBorders>
            <w:shd w:val="clear" w:color="auto" w:fill="auto"/>
            <w:noWrap/>
            <w:vAlign w:val="center"/>
            <w:hideMark/>
          </w:tcPr>
          <w:p w:rsidR="00CB09F9" w:rsidRPr="00572DAB" w:rsidRDefault="0041423C" w:rsidP="00CB09F9">
            <w:pPr>
              <w:spacing w:after="0" w:line="240" w:lineRule="auto"/>
              <w:jc w:val="center"/>
              <w:rPr>
                <w:rFonts w:asciiTheme="minorHAnsi" w:eastAsia="Times New Roman" w:hAnsiTheme="minorHAnsi" w:cstheme="minorHAnsi"/>
                <w:b/>
                <w:bCs/>
                <w:color w:val="000000"/>
                <w:sz w:val="22"/>
              </w:rPr>
            </w:pPr>
            <w:r w:rsidRPr="0041423C">
              <w:rPr>
                <w:rFonts w:asciiTheme="minorHAnsi" w:eastAsia="Times New Roman" w:hAnsiTheme="minorHAnsi" w:cstheme="minorHAnsi"/>
                <w:b/>
                <w:bCs/>
                <w:color w:val="000000"/>
                <w:sz w:val="22"/>
              </w:rPr>
              <w:t>1738</w:t>
            </w:r>
          </w:p>
        </w:tc>
      </w:tr>
      <w:tr w:rsidR="00CB09F9" w:rsidRPr="00572DAB" w:rsidTr="00CB09F9">
        <w:trPr>
          <w:trHeight w:val="276"/>
        </w:trPr>
        <w:tc>
          <w:tcPr>
            <w:tcW w:w="9230" w:type="dxa"/>
            <w:gridSpan w:val="5"/>
            <w:tcBorders>
              <w:top w:val="single" w:sz="8" w:space="0" w:color="auto"/>
              <w:left w:val="nil"/>
              <w:bottom w:val="nil"/>
              <w:right w:val="nil"/>
            </w:tcBorders>
            <w:shd w:val="clear" w:color="auto" w:fill="auto"/>
            <w:noWrap/>
            <w:vAlign w:val="bottom"/>
            <w:hideMark/>
          </w:tcPr>
          <w:p w:rsidR="00CB09F9" w:rsidRPr="00572DAB" w:rsidRDefault="0041423C" w:rsidP="00CB09F9">
            <w:pPr>
              <w:spacing w:after="0" w:line="240" w:lineRule="auto"/>
              <w:rPr>
                <w:rFonts w:asciiTheme="minorHAnsi" w:eastAsia="Times New Roman" w:hAnsiTheme="minorHAnsi" w:cstheme="minorHAnsi"/>
                <w:i/>
                <w:iCs/>
                <w:color w:val="000000"/>
                <w:sz w:val="22"/>
              </w:rPr>
            </w:pPr>
            <w:r w:rsidRPr="0041423C">
              <w:rPr>
                <w:rFonts w:asciiTheme="minorHAnsi" w:eastAsia="Times New Roman" w:hAnsiTheme="minorHAnsi" w:cstheme="minorHAnsi"/>
                <w:i/>
                <w:iCs/>
                <w:color w:val="000000"/>
                <w:sz w:val="22"/>
              </w:rPr>
              <w:t>* The higher fixed charges are on account of True Up of the Generating Stations</w:t>
            </w:r>
          </w:p>
        </w:tc>
      </w:tr>
    </w:tbl>
    <w:p w:rsidR="00CB09F9" w:rsidRDefault="00CB09F9" w:rsidP="008171B5">
      <w:pPr>
        <w:jc w:val="both"/>
      </w:pPr>
    </w:p>
    <w:p w:rsidR="00371BF1" w:rsidRDefault="00F8491E" w:rsidP="008171B5">
      <w:pPr>
        <w:jc w:val="both"/>
      </w:pPr>
      <w:r>
        <w:t xml:space="preserve">Considering the above, </w:t>
      </w:r>
      <w:r w:rsidR="00702B25">
        <w:t>analysis has bee</w:t>
      </w:r>
      <w:r w:rsidR="00FF1C1A">
        <w:t>n</w:t>
      </w:r>
      <w:r w:rsidR="00702B25">
        <w:t xml:space="preserve"> done </w:t>
      </w:r>
      <w:r w:rsidR="00FF1C1A">
        <w:t>where the availability of power various contracted sources has been considered based on the historical averages of actual PLF</w:t>
      </w:r>
      <w:r>
        <w:t>s for the period FY 2019-20 to FY 202</w:t>
      </w:r>
      <w:r w:rsidR="002469B7">
        <w:t>2</w:t>
      </w:r>
      <w:r>
        <w:t>-2</w:t>
      </w:r>
      <w:r w:rsidR="002469B7">
        <w:t>3.</w:t>
      </w:r>
    </w:p>
    <w:p w:rsidR="00405C57" w:rsidRDefault="00371BF1" w:rsidP="008171B5">
      <w:pPr>
        <w:jc w:val="both"/>
      </w:pPr>
      <w:r>
        <w:t xml:space="preserve">Further, the availability of power from one of the contracted sources of TS </w:t>
      </w:r>
      <w:proofErr w:type="spellStart"/>
      <w:r>
        <w:t>Discoms</w:t>
      </w:r>
      <w:proofErr w:type="spellEnd"/>
      <w:r>
        <w:t xml:space="preserve"> i.e., CSPDCL has been considered in the 5</w:t>
      </w:r>
      <w:r w:rsidRPr="00371BF1">
        <w:rPr>
          <w:vertAlign w:val="superscript"/>
        </w:rPr>
        <w:t>th</w:t>
      </w:r>
      <w:r>
        <w:t xml:space="preserve"> and 6</w:t>
      </w:r>
      <w:r w:rsidRPr="00371BF1">
        <w:rPr>
          <w:vertAlign w:val="superscript"/>
        </w:rPr>
        <w:t>th</w:t>
      </w:r>
      <w:r>
        <w:t xml:space="preserve"> Control Period as per the normative availability, </w:t>
      </w:r>
      <w:r>
        <w:lastRenderedPageBreak/>
        <w:t xml:space="preserve">however, it is to be noted that the power from this station has not been scheduled from April 2022 i.e., from a period of 16 months on account billing issues with CSPDCL. </w:t>
      </w:r>
    </w:p>
    <w:p w:rsidR="0062028F" w:rsidRDefault="00405C57" w:rsidP="008171B5">
      <w:pPr>
        <w:jc w:val="both"/>
      </w:pPr>
      <w:r w:rsidRPr="00881C99">
        <w:t xml:space="preserve">Since there is no clarity on the availability of power from CSPDCL, </w:t>
      </w:r>
      <w:r w:rsidR="00371BF1" w:rsidRPr="00881C99">
        <w:t xml:space="preserve">the </w:t>
      </w:r>
      <w:r w:rsidR="00456796">
        <w:t>scheduling</w:t>
      </w:r>
      <w:r w:rsidR="00371BF1" w:rsidRPr="00881C99">
        <w:t xml:space="preserve"> of power from CSPDCL has not been considered</w:t>
      </w:r>
      <w:r w:rsidR="00055920" w:rsidRPr="00881C99">
        <w:t xml:space="preserve"> in th</w:t>
      </w:r>
      <w:r w:rsidR="00456796">
        <w:t>is</w:t>
      </w:r>
      <w:r w:rsidR="00055920" w:rsidRPr="00881C99">
        <w:t xml:space="preserve"> analysis</w:t>
      </w:r>
      <w:r w:rsidR="00371BF1" w:rsidRPr="00881C99">
        <w:t xml:space="preserve">. </w:t>
      </w:r>
      <w:r w:rsidRPr="00881C99">
        <w:t xml:space="preserve">However, there is a possibility that the energy is </w:t>
      </w:r>
      <w:r w:rsidR="00456796">
        <w:t>scheduled</w:t>
      </w:r>
      <w:r w:rsidRPr="00881C99">
        <w:t xml:space="preserve"> after the issues between TS </w:t>
      </w:r>
      <w:proofErr w:type="spellStart"/>
      <w:r w:rsidRPr="00881C99">
        <w:t>Discoms</w:t>
      </w:r>
      <w:proofErr w:type="spellEnd"/>
      <w:r w:rsidRPr="00881C99">
        <w:t xml:space="preserve"> and CSPDCL are resolved.</w:t>
      </w:r>
      <w:r>
        <w:t xml:space="preserve"> </w:t>
      </w:r>
    </w:p>
    <w:p w:rsidR="00702B25" w:rsidRDefault="00FF1C1A" w:rsidP="008171B5">
      <w:pPr>
        <w:jc w:val="both"/>
      </w:pPr>
      <w:r>
        <w:t xml:space="preserve">The specific </w:t>
      </w:r>
      <w:proofErr w:type="gramStart"/>
      <w:r>
        <w:t>considerations of</w:t>
      </w:r>
      <w:r w:rsidR="00CF3E41">
        <w:t xml:space="preserve"> </w:t>
      </w:r>
      <w:r w:rsidR="00371BF1">
        <w:t>various generation sources is</w:t>
      </w:r>
      <w:proofErr w:type="gramEnd"/>
      <w:r w:rsidR="00371BF1">
        <w:t xml:space="preserve"> as follows:</w:t>
      </w:r>
    </w:p>
    <w:tbl>
      <w:tblPr>
        <w:tblW w:w="9035" w:type="dxa"/>
        <w:jc w:val="center"/>
        <w:tblLayout w:type="fixed"/>
        <w:tblLook w:val="04A0"/>
      </w:tblPr>
      <w:tblGrid>
        <w:gridCol w:w="2785"/>
        <w:gridCol w:w="5851"/>
        <w:gridCol w:w="399"/>
      </w:tblGrid>
      <w:tr w:rsidR="00A05347" w:rsidRPr="00A05347" w:rsidTr="00055920">
        <w:trPr>
          <w:gridAfter w:val="1"/>
          <w:wAfter w:w="399" w:type="dxa"/>
          <w:trHeight w:val="339"/>
          <w:tblHeader/>
          <w:jc w:val="center"/>
        </w:trPr>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5347" w:rsidRPr="00A05347" w:rsidRDefault="00A05347" w:rsidP="00A05347">
            <w:pPr>
              <w:spacing w:after="0" w:line="240" w:lineRule="auto"/>
              <w:jc w:val="center"/>
              <w:rPr>
                <w:rFonts w:eastAsia="Times New Roman" w:cs="Calibri"/>
                <w:b/>
                <w:bCs/>
                <w:color w:val="000000"/>
                <w:sz w:val="22"/>
              </w:rPr>
            </w:pPr>
            <w:r>
              <w:rPr>
                <w:rFonts w:eastAsia="Times New Roman" w:cs="Calibri"/>
                <w:b/>
                <w:bCs/>
                <w:color w:val="000000"/>
                <w:sz w:val="22"/>
              </w:rPr>
              <w:t xml:space="preserve">Power </w:t>
            </w:r>
            <w:r w:rsidRPr="00A05347">
              <w:rPr>
                <w:rFonts w:eastAsia="Times New Roman" w:cs="Calibri"/>
                <w:b/>
                <w:bCs/>
                <w:color w:val="000000"/>
                <w:sz w:val="22"/>
              </w:rPr>
              <w:t>Source</w:t>
            </w:r>
          </w:p>
        </w:tc>
        <w:tc>
          <w:tcPr>
            <w:tcW w:w="5851" w:type="dxa"/>
            <w:tcBorders>
              <w:top w:val="single" w:sz="4" w:space="0" w:color="auto"/>
              <w:left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center"/>
              <w:rPr>
                <w:rFonts w:eastAsia="Times New Roman" w:cs="Calibri"/>
                <w:b/>
                <w:bCs/>
                <w:color w:val="000000"/>
                <w:sz w:val="22"/>
              </w:rPr>
            </w:pPr>
            <w:r>
              <w:rPr>
                <w:rFonts w:eastAsia="Times New Roman" w:cs="Calibri"/>
                <w:b/>
                <w:bCs/>
                <w:color w:val="000000"/>
                <w:sz w:val="22"/>
              </w:rPr>
              <w:t>Considerations for projection of availability</w:t>
            </w:r>
          </w:p>
        </w:tc>
      </w:tr>
      <w:tr w:rsidR="00A05347" w:rsidRPr="00A05347" w:rsidTr="00A05347">
        <w:trPr>
          <w:trHeight w:val="24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r w:rsidRPr="00A05347">
              <w:rPr>
                <w:rFonts w:eastAsia="Times New Roman" w:cs="Calibri"/>
                <w:color w:val="000000"/>
                <w:sz w:val="22"/>
              </w:rPr>
              <w:t xml:space="preserve">TS </w:t>
            </w:r>
            <w:proofErr w:type="spellStart"/>
            <w:r w:rsidRPr="00A05347">
              <w:rPr>
                <w:rFonts w:eastAsia="Times New Roman" w:cs="Calibri"/>
                <w:color w:val="000000"/>
                <w:sz w:val="22"/>
              </w:rPr>
              <w:t>Genco</w:t>
            </w:r>
            <w:proofErr w:type="spellEnd"/>
            <w:r w:rsidRPr="00A05347">
              <w:rPr>
                <w:rFonts w:eastAsia="Times New Roman" w:cs="Calibri"/>
                <w:color w:val="000000"/>
                <w:sz w:val="22"/>
              </w:rPr>
              <w:t xml:space="preserve"> – Thermal</w:t>
            </w:r>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Average PLF of the period FY 2019-20 to FY 2022-23 except BTPS and YTPS. For BTPS</w:t>
            </w:r>
            <w:r w:rsidR="00405C57">
              <w:rPr>
                <w:rFonts w:cs="Calibri"/>
                <w:color w:val="000000"/>
                <w:sz w:val="22"/>
              </w:rPr>
              <w:t>,</w:t>
            </w:r>
            <w:r>
              <w:rPr>
                <w:rFonts w:cs="Calibri"/>
                <w:color w:val="000000"/>
                <w:sz w:val="22"/>
              </w:rPr>
              <w:t xml:space="preserve"> PLF is considered as 60% which is the actual PLF for FY 2022-23</w:t>
            </w:r>
            <w:r w:rsidR="0062028F">
              <w:rPr>
                <w:rFonts w:cs="Calibri"/>
                <w:color w:val="000000"/>
                <w:sz w:val="22"/>
              </w:rPr>
              <w:t xml:space="preserve"> for all the years</w:t>
            </w:r>
            <w:r>
              <w:rPr>
                <w:rFonts w:cs="Calibri"/>
                <w:color w:val="000000"/>
                <w:sz w:val="22"/>
              </w:rPr>
              <w:t xml:space="preserve">. Similarly, for YTPS, PLF is considered as 60% for the period from </w:t>
            </w:r>
            <w:proofErr w:type="spellStart"/>
            <w:r>
              <w:rPr>
                <w:rFonts w:cs="Calibri"/>
                <w:color w:val="000000"/>
                <w:sz w:val="22"/>
              </w:rPr>
              <w:t>CoD</w:t>
            </w:r>
            <w:proofErr w:type="spellEnd"/>
            <w:r>
              <w:rPr>
                <w:rFonts w:cs="Calibri"/>
                <w:color w:val="000000"/>
                <w:sz w:val="22"/>
              </w:rPr>
              <w:t xml:space="preserve"> of respective units</w:t>
            </w:r>
            <w:r w:rsidR="005D403F">
              <w:rPr>
                <w:rFonts w:cs="Calibri"/>
                <w:color w:val="000000"/>
                <w:sz w:val="22"/>
              </w:rPr>
              <w:t xml:space="preserve"> </w:t>
            </w:r>
            <w:r w:rsidR="0062028F">
              <w:rPr>
                <w:rFonts w:cs="Calibri"/>
                <w:color w:val="000000"/>
                <w:sz w:val="22"/>
              </w:rPr>
              <w:t>for all the years</w:t>
            </w:r>
            <w:r>
              <w:rPr>
                <w:rFonts w:cs="Calibri"/>
                <w:color w:val="000000"/>
                <w:sz w:val="22"/>
              </w:rPr>
              <w:t>.</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r w:rsidR="00A05347" w:rsidRPr="00A05347" w:rsidTr="00A05347">
        <w:trPr>
          <w:trHeight w:val="24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r w:rsidRPr="00A05347">
              <w:rPr>
                <w:rFonts w:eastAsia="Times New Roman" w:cs="Calibri"/>
                <w:color w:val="000000"/>
                <w:sz w:val="22"/>
              </w:rPr>
              <w:t xml:space="preserve">TS </w:t>
            </w:r>
            <w:proofErr w:type="spellStart"/>
            <w:r w:rsidRPr="00A05347">
              <w:rPr>
                <w:rFonts w:eastAsia="Times New Roman" w:cs="Calibri"/>
                <w:color w:val="000000"/>
                <w:sz w:val="22"/>
              </w:rPr>
              <w:t>Genco</w:t>
            </w:r>
            <w:proofErr w:type="spellEnd"/>
            <w:r w:rsidRPr="00A05347">
              <w:rPr>
                <w:rFonts w:eastAsia="Times New Roman" w:cs="Calibri"/>
                <w:color w:val="000000"/>
                <w:sz w:val="22"/>
              </w:rPr>
              <w:t xml:space="preserve"> – </w:t>
            </w:r>
            <w:proofErr w:type="spellStart"/>
            <w:r w:rsidRPr="00A05347">
              <w:rPr>
                <w:rFonts w:eastAsia="Times New Roman" w:cs="Calibri"/>
                <w:color w:val="000000"/>
                <w:sz w:val="22"/>
              </w:rPr>
              <w:t>Hydel</w:t>
            </w:r>
            <w:proofErr w:type="spellEnd"/>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Considered as projected in Resource Plan considering that the availability exceeds only when there are good monsoons which is not so frequent.</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r w:rsidR="00A05347" w:rsidRPr="00A05347" w:rsidTr="00A05347">
        <w:trPr>
          <w:trHeight w:val="339"/>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r w:rsidRPr="00A05347">
              <w:rPr>
                <w:rFonts w:eastAsia="Times New Roman" w:cs="Calibri"/>
                <w:color w:val="000000"/>
                <w:sz w:val="22"/>
              </w:rPr>
              <w:t>Central Generating Stations</w:t>
            </w:r>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Average PLF of the period FY 2019-20 to FY 2022-23 except (</w:t>
            </w:r>
            <w:proofErr w:type="spellStart"/>
            <w:r>
              <w:rPr>
                <w:rFonts w:cs="Calibri"/>
                <w:color w:val="000000"/>
                <w:sz w:val="22"/>
              </w:rPr>
              <w:t>i</w:t>
            </w:r>
            <w:proofErr w:type="spellEnd"/>
            <w:r>
              <w:rPr>
                <w:rFonts w:cs="Calibri"/>
                <w:color w:val="000000"/>
                <w:sz w:val="22"/>
              </w:rPr>
              <w:t>) NLC exp. 1 &amp; 2 (ii) Nuclear &amp; (iii) TSTPP. For the</w:t>
            </w:r>
            <w:r w:rsidR="0062028F">
              <w:rPr>
                <w:rFonts w:cs="Calibri"/>
                <w:color w:val="000000"/>
                <w:sz w:val="22"/>
              </w:rPr>
              <w:t>se three plants</w:t>
            </w:r>
            <w:r>
              <w:rPr>
                <w:rFonts w:cs="Calibri"/>
                <w:color w:val="000000"/>
                <w:sz w:val="22"/>
              </w:rPr>
              <w:t xml:space="preserve"> the projections</w:t>
            </w:r>
            <w:r w:rsidR="0062028F">
              <w:rPr>
                <w:rFonts w:cs="Calibri"/>
                <w:color w:val="000000"/>
                <w:sz w:val="22"/>
              </w:rPr>
              <w:t xml:space="preserve"> have been considered</w:t>
            </w:r>
            <w:r>
              <w:rPr>
                <w:rFonts w:cs="Calibri"/>
                <w:color w:val="000000"/>
                <w:sz w:val="22"/>
              </w:rPr>
              <w:t xml:space="preserve"> as </w:t>
            </w:r>
            <w:r w:rsidR="0062028F">
              <w:rPr>
                <w:rFonts w:cs="Calibri"/>
                <w:color w:val="000000"/>
                <w:sz w:val="22"/>
              </w:rPr>
              <w:t>filed</w:t>
            </w:r>
            <w:r>
              <w:rPr>
                <w:rFonts w:cs="Calibri"/>
                <w:color w:val="000000"/>
                <w:sz w:val="22"/>
              </w:rPr>
              <w:t xml:space="preserve"> in Resource Plan.</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r w:rsidR="00A05347" w:rsidRPr="00A05347" w:rsidTr="00A05347">
        <w:trPr>
          <w:trHeight w:val="24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r w:rsidRPr="00A05347">
              <w:rPr>
                <w:rFonts w:eastAsia="Times New Roman" w:cs="Calibri"/>
                <w:color w:val="000000"/>
                <w:sz w:val="22"/>
              </w:rPr>
              <w:t>NCES</w:t>
            </w:r>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Considered as projected in Resource Plan.</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r w:rsidR="00A05347" w:rsidRPr="00A05347" w:rsidTr="00A05347">
        <w:trPr>
          <w:trHeight w:val="24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proofErr w:type="spellStart"/>
            <w:r w:rsidRPr="00A05347">
              <w:rPr>
                <w:rFonts w:eastAsia="Times New Roman" w:cs="Calibri"/>
                <w:color w:val="000000"/>
                <w:sz w:val="22"/>
              </w:rPr>
              <w:t>Sembcorp</w:t>
            </w:r>
            <w:proofErr w:type="spellEnd"/>
            <w:r w:rsidRPr="00A05347">
              <w:rPr>
                <w:rFonts w:eastAsia="Times New Roman" w:cs="Calibri"/>
                <w:color w:val="000000"/>
                <w:sz w:val="22"/>
              </w:rPr>
              <w:t xml:space="preserve"> Energy (IPPs)</w:t>
            </w:r>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Average PLF of the period FY 2019-20 to FY 2022-23</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r w:rsidR="00A05347" w:rsidRPr="00A05347" w:rsidTr="00A05347">
        <w:trPr>
          <w:trHeight w:val="24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r w:rsidRPr="00A05347">
              <w:rPr>
                <w:rFonts w:eastAsia="Times New Roman" w:cs="Calibri"/>
                <w:color w:val="000000"/>
                <w:sz w:val="22"/>
              </w:rPr>
              <w:t>CSPDCL (Chhattisgarh)</w:t>
            </w:r>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Not considered the same since the power is not being scheduled from April 202</w:t>
            </w:r>
            <w:r w:rsidR="0062028F">
              <w:rPr>
                <w:rFonts w:cs="Calibri"/>
                <w:color w:val="000000"/>
                <w:sz w:val="22"/>
              </w:rPr>
              <w:t>2</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r w:rsidR="00A05347" w:rsidRPr="00A05347" w:rsidTr="00A05347">
        <w:trPr>
          <w:trHeight w:val="241"/>
          <w:jc w:val="center"/>
        </w:trPr>
        <w:tc>
          <w:tcPr>
            <w:tcW w:w="2785" w:type="dxa"/>
            <w:tcBorders>
              <w:top w:val="nil"/>
              <w:left w:val="single" w:sz="4" w:space="0" w:color="auto"/>
              <w:bottom w:val="single" w:sz="4" w:space="0" w:color="auto"/>
              <w:right w:val="single" w:sz="4" w:space="0" w:color="auto"/>
            </w:tcBorders>
            <w:shd w:val="clear" w:color="auto" w:fill="auto"/>
            <w:vAlign w:val="center"/>
            <w:hideMark/>
          </w:tcPr>
          <w:p w:rsidR="00A05347" w:rsidRPr="00A05347" w:rsidRDefault="00A05347" w:rsidP="00A05347">
            <w:pPr>
              <w:spacing w:after="0" w:line="240" w:lineRule="auto"/>
              <w:rPr>
                <w:rFonts w:eastAsia="Times New Roman" w:cs="Calibri"/>
                <w:color w:val="000000"/>
                <w:sz w:val="22"/>
              </w:rPr>
            </w:pPr>
            <w:proofErr w:type="spellStart"/>
            <w:r w:rsidRPr="00A05347">
              <w:rPr>
                <w:rFonts w:eastAsia="Times New Roman" w:cs="Calibri"/>
                <w:color w:val="000000"/>
                <w:sz w:val="22"/>
              </w:rPr>
              <w:t>Singareni</w:t>
            </w:r>
            <w:proofErr w:type="spellEnd"/>
          </w:p>
        </w:tc>
        <w:tc>
          <w:tcPr>
            <w:tcW w:w="5851" w:type="dxa"/>
            <w:tcBorders>
              <w:top w:val="single" w:sz="4" w:space="0" w:color="auto"/>
              <w:bottom w:val="single" w:sz="4" w:space="0" w:color="auto"/>
              <w:right w:val="single" w:sz="4" w:space="0" w:color="auto"/>
            </w:tcBorders>
            <w:vAlign w:val="center"/>
          </w:tcPr>
          <w:p w:rsidR="00A05347" w:rsidRPr="00A05347" w:rsidRDefault="00A05347" w:rsidP="00A05347">
            <w:pPr>
              <w:spacing w:after="0" w:line="240" w:lineRule="auto"/>
              <w:jc w:val="both"/>
              <w:rPr>
                <w:rFonts w:ascii="Times New Roman" w:eastAsia="Times New Roman" w:hAnsi="Times New Roman" w:cs="Times New Roman"/>
                <w:sz w:val="20"/>
                <w:szCs w:val="20"/>
              </w:rPr>
            </w:pPr>
            <w:r>
              <w:rPr>
                <w:rFonts w:cs="Calibri"/>
                <w:color w:val="000000"/>
                <w:sz w:val="22"/>
              </w:rPr>
              <w:t>Average PLF of the period FY 2019-20 to FY 2022-23</w:t>
            </w:r>
          </w:p>
        </w:tc>
        <w:tc>
          <w:tcPr>
            <w:tcW w:w="399" w:type="dxa"/>
            <w:tcBorders>
              <w:left w:val="single" w:sz="4" w:space="0" w:color="auto"/>
            </w:tcBorders>
            <w:vAlign w:val="center"/>
            <w:hideMark/>
          </w:tcPr>
          <w:p w:rsidR="00A05347" w:rsidRPr="00A05347" w:rsidRDefault="00A05347" w:rsidP="00A05347">
            <w:pPr>
              <w:spacing w:after="0" w:line="240" w:lineRule="auto"/>
              <w:rPr>
                <w:rFonts w:ascii="Times New Roman" w:eastAsia="Times New Roman" w:hAnsi="Times New Roman" w:cs="Times New Roman"/>
                <w:sz w:val="20"/>
                <w:szCs w:val="20"/>
              </w:rPr>
            </w:pPr>
          </w:p>
        </w:tc>
      </w:tr>
    </w:tbl>
    <w:p w:rsidR="00371BF1" w:rsidRDefault="00371BF1" w:rsidP="008171B5">
      <w:pPr>
        <w:jc w:val="both"/>
      </w:pPr>
    </w:p>
    <w:p w:rsidR="00055920" w:rsidRDefault="00055920" w:rsidP="008171B5">
      <w:pPr>
        <w:jc w:val="both"/>
      </w:pPr>
      <w:r>
        <w:t>With the above considerations, the availability of power from the contracted sources has come down and accordingly has impacted the energy balance of the State and the same is as follows:</w:t>
      </w:r>
    </w:p>
    <w:p w:rsidR="00550EA7" w:rsidRDefault="00550EA7" w:rsidP="00550EA7">
      <w:pPr>
        <w:pStyle w:val="Caption"/>
      </w:pPr>
      <w:r>
        <w:t xml:space="preserve">Table </w:t>
      </w:r>
      <w:r w:rsidR="008737D4">
        <w:fldChar w:fldCharType="begin"/>
      </w:r>
      <w:r w:rsidR="00E7272A">
        <w:instrText xml:space="preserve"> SEQ Table \* ARABIC </w:instrText>
      </w:r>
      <w:r w:rsidR="008737D4">
        <w:fldChar w:fldCharType="separate"/>
      </w:r>
      <w:r w:rsidR="00D41256">
        <w:rPr>
          <w:noProof/>
        </w:rPr>
        <w:t>12</w:t>
      </w:r>
      <w:r w:rsidR="008737D4">
        <w:rPr>
          <w:noProof/>
        </w:rPr>
        <w:fldChar w:fldCharType="end"/>
      </w:r>
      <w:r>
        <w:t xml:space="preserve"> </w:t>
      </w:r>
      <w:r w:rsidR="00456796">
        <w:t>I</w:t>
      </w:r>
      <w:r>
        <w:t>mpact of availability considering historical actual availabilities (MU)</w:t>
      </w:r>
    </w:p>
    <w:tbl>
      <w:tblPr>
        <w:tblW w:w="10906" w:type="dxa"/>
        <w:tblInd w:w="-545" w:type="dxa"/>
        <w:tblLayout w:type="fixed"/>
        <w:tblLook w:val="04A0"/>
      </w:tblPr>
      <w:tblGrid>
        <w:gridCol w:w="1763"/>
        <w:gridCol w:w="914"/>
        <w:gridCol w:w="914"/>
        <w:gridCol w:w="914"/>
        <w:gridCol w:w="914"/>
        <w:gridCol w:w="915"/>
        <w:gridCol w:w="914"/>
        <w:gridCol w:w="914"/>
        <w:gridCol w:w="914"/>
        <w:gridCol w:w="914"/>
        <w:gridCol w:w="916"/>
      </w:tblGrid>
      <w:tr w:rsidR="00550EA7" w:rsidRPr="00CC262D" w:rsidTr="0089216C">
        <w:trPr>
          <w:trHeight w:val="218"/>
          <w:tblHeader/>
        </w:trPr>
        <w:tc>
          <w:tcPr>
            <w:tcW w:w="1763" w:type="dxa"/>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Particular</w:t>
            </w:r>
          </w:p>
        </w:tc>
        <w:tc>
          <w:tcPr>
            <w:tcW w:w="9143" w:type="dxa"/>
            <w:gridSpan w:val="10"/>
            <w:tcBorders>
              <w:top w:val="single" w:sz="4" w:space="0" w:color="auto"/>
              <w:left w:val="nil"/>
              <w:bottom w:val="single" w:sz="4" w:space="0" w:color="auto"/>
              <w:right w:val="single" w:sz="4" w:space="0" w:color="auto"/>
            </w:tcBorders>
            <w:shd w:val="clear" w:color="000000" w:fill="FF89FF"/>
            <w:noWrap/>
            <w:vAlign w:val="bottom"/>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 xml:space="preserve">Energy Balance in </w:t>
            </w:r>
            <w:proofErr w:type="spellStart"/>
            <w:r w:rsidRPr="00CC262D">
              <w:rPr>
                <w:rFonts w:asciiTheme="minorHAnsi" w:eastAsia="Times New Roman" w:hAnsiTheme="minorHAnsi" w:cstheme="minorHAnsi"/>
                <w:b/>
                <w:bCs/>
                <w:color w:val="000000"/>
                <w:sz w:val="22"/>
              </w:rPr>
              <w:t>Telangana</w:t>
            </w:r>
            <w:proofErr w:type="spellEnd"/>
            <w:r w:rsidRPr="00CC262D">
              <w:rPr>
                <w:rFonts w:asciiTheme="minorHAnsi" w:eastAsia="Times New Roman" w:hAnsiTheme="minorHAnsi" w:cstheme="minorHAnsi"/>
                <w:b/>
                <w:bCs/>
                <w:color w:val="000000"/>
                <w:sz w:val="22"/>
              </w:rPr>
              <w:t xml:space="preserve"> State</w:t>
            </w:r>
          </w:p>
        </w:tc>
      </w:tr>
      <w:tr w:rsidR="00550EA7" w:rsidRPr="00CC262D" w:rsidTr="0089216C">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550EA7" w:rsidRPr="00CC262D" w:rsidRDefault="00550EA7" w:rsidP="00065E4D">
            <w:pPr>
              <w:spacing w:after="0" w:line="240" w:lineRule="auto"/>
              <w:rPr>
                <w:rFonts w:asciiTheme="minorHAnsi" w:eastAsia="Times New Roman" w:hAnsiTheme="minorHAnsi" w:cstheme="minorHAnsi"/>
                <w:b/>
                <w:bCs/>
                <w:color w:val="000000"/>
                <w:sz w:val="22"/>
              </w:rPr>
            </w:pPr>
          </w:p>
        </w:tc>
        <w:tc>
          <w:tcPr>
            <w:tcW w:w="4571" w:type="dxa"/>
            <w:gridSpan w:val="5"/>
            <w:tcBorders>
              <w:top w:val="single" w:sz="4" w:space="0" w:color="auto"/>
              <w:left w:val="nil"/>
              <w:bottom w:val="single" w:sz="4" w:space="0" w:color="auto"/>
              <w:right w:val="single" w:sz="4" w:space="0" w:color="auto"/>
            </w:tcBorders>
            <w:shd w:val="clear" w:color="000000" w:fill="FFF2CC"/>
            <w:noWrap/>
            <w:vAlign w:val="bottom"/>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5th Control Period</w:t>
            </w:r>
          </w:p>
        </w:tc>
        <w:tc>
          <w:tcPr>
            <w:tcW w:w="4572" w:type="dxa"/>
            <w:gridSpan w:val="5"/>
            <w:tcBorders>
              <w:top w:val="single" w:sz="4" w:space="0" w:color="auto"/>
              <w:left w:val="nil"/>
              <w:bottom w:val="single" w:sz="4" w:space="0" w:color="auto"/>
              <w:right w:val="single" w:sz="4" w:space="0" w:color="auto"/>
            </w:tcBorders>
            <w:shd w:val="clear" w:color="000000" w:fill="FCE4D6"/>
            <w:noWrap/>
            <w:vAlign w:val="bottom"/>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6th Control Period</w:t>
            </w:r>
          </w:p>
        </w:tc>
      </w:tr>
      <w:tr w:rsidR="00550EA7" w:rsidRPr="000941B2" w:rsidTr="0089216C">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550EA7" w:rsidRPr="00CC262D" w:rsidRDefault="00550EA7" w:rsidP="00065E4D">
            <w:pPr>
              <w:spacing w:after="0" w:line="240" w:lineRule="auto"/>
              <w:rPr>
                <w:rFonts w:asciiTheme="minorHAnsi" w:eastAsia="Times New Roman" w:hAnsiTheme="minorHAnsi" w:cstheme="minorHAnsi"/>
                <w:b/>
                <w:bCs/>
                <w:color w:val="000000"/>
                <w:sz w:val="22"/>
              </w:rPr>
            </w:pPr>
          </w:p>
        </w:tc>
        <w:tc>
          <w:tcPr>
            <w:tcW w:w="914" w:type="dxa"/>
            <w:tcBorders>
              <w:top w:val="nil"/>
              <w:left w:val="nil"/>
              <w:bottom w:val="single" w:sz="4" w:space="0" w:color="auto"/>
              <w:right w:val="single" w:sz="4" w:space="0" w:color="auto"/>
            </w:tcBorders>
            <w:shd w:val="clear" w:color="000000" w:fill="FFF2CC"/>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2024-25</w:t>
            </w:r>
          </w:p>
        </w:tc>
        <w:tc>
          <w:tcPr>
            <w:tcW w:w="914" w:type="dxa"/>
            <w:tcBorders>
              <w:top w:val="nil"/>
              <w:left w:val="nil"/>
              <w:bottom w:val="single" w:sz="4" w:space="0" w:color="auto"/>
              <w:right w:val="single" w:sz="4" w:space="0" w:color="auto"/>
            </w:tcBorders>
            <w:shd w:val="clear" w:color="000000" w:fill="FFF2CC"/>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2025-26</w:t>
            </w:r>
          </w:p>
        </w:tc>
        <w:tc>
          <w:tcPr>
            <w:tcW w:w="914" w:type="dxa"/>
            <w:tcBorders>
              <w:top w:val="nil"/>
              <w:left w:val="nil"/>
              <w:bottom w:val="single" w:sz="4" w:space="0" w:color="auto"/>
              <w:right w:val="single" w:sz="4" w:space="0" w:color="auto"/>
            </w:tcBorders>
            <w:shd w:val="clear" w:color="000000" w:fill="FFF2CC"/>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2026-27</w:t>
            </w:r>
          </w:p>
        </w:tc>
        <w:tc>
          <w:tcPr>
            <w:tcW w:w="914" w:type="dxa"/>
            <w:tcBorders>
              <w:top w:val="nil"/>
              <w:left w:val="nil"/>
              <w:bottom w:val="single" w:sz="4" w:space="0" w:color="auto"/>
              <w:right w:val="single" w:sz="4" w:space="0" w:color="auto"/>
            </w:tcBorders>
            <w:shd w:val="clear" w:color="000000" w:fill="FFF2CC"/>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2027-28</w:t>
            </w:r>
          </w:p>
        </w:tc>
        <w:tc>
          <w:tcPr>
            <w:tcW w:w="915" w:type="dxa"/>
            <w:tcBorders>
              <w:top w:val="nil"/>
              <w:left w:val="nil"/>
              <w:bottom w:val="single" w:sz="4" w:space="0" w:color="auto"/>
              <w:right w:val="single" w:sz="4" w:space="0" w:color="auto"/>
            </w:tcBorders>
            <w:shd w:val="clear" w:color="000000" w:fill="FFF2CC"/>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2028-29</w:t>
            </w:r>
          </w:p>
        </w:tc>
        <w:tc>
          <w:tcPr>
            <w:tcW w:w="914" w:type="dxa"/>
            <w:tcBorders>
              <w:top w:val="nil"/>
              <w:left w:val="nil"/>
              <w:bottom w:val="single" w:sz="4" w:space="0" w:color="auto"/>
              <w:right w:val="single" w:sz="4" w:space="0" w:color="auto"/>
            </w:tcBorders>
            <w:shd w:val="clear" w:color="000000" w:fill="FCE4D6"/>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2029-30</w:t>
            </w:r>
          </w:p>
        </w:tc>
        <w:tc>
          <w:tcPr>
            <w:tcW w:w="914" w:type="dxa"/>
            <w:tcBorders>
              <w:top w:val="nil"/>
              <w:left w:val="nil"/>
              <w:bottom w:val="single" w:sz="4" w:space="0" w:color="auto"/>
              <w:right w:val="single" w:sz="4" w:space="0" w:color="auto"/>
            </w:tcBorders>
            <w:shd w:val="clear" w:color="000000" w:fill="FCE4D6"/>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2030-31</w:t>
            </w:r>
          </w:p>
        </w:tc>
        <w:tc>
          <w:tcPr>
            <w:tcW w:w="914" w:type="dxa"/>
            <w:tcBorders>
              <w:top w:val="nil"/>
              <w:left w:val="nil"/>
              <w:bottom w:val="single" w:sz="4" w:space="0" w:color="auto"/>
              <w:right w:val="single" w:sz="4" w:space="0" w:color="auto"/>
            </w:tcBorders>
            <w:shd w:val="clear" w:color="000000" w:fill="FCE4D6"/>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2031-32</w:t>
            </w:r>
          </w:p>
        </w:tc>
        <w:tc>
          <w:tcPr>
            <w:tcW w:w="914" w:type="dxa"/>
            <w:tcBorders>
              <w:top w:val="nil"/>
              <w:left w:val="nil"/>
              <w:bottom w:val="single" w:sz="4" w:space="0" w:color="auto"/>
              <w:right w:val="single" w:sz="4" w:space="0" w:color="auto"/>
            </w:tcBorders>
            <w:shd w:val="clear" w:color="000000" w:fill="FCE4D6"/>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2032-33</w:t>
            </w:r>
          </w:p>
        </w:tc>
        <w:tc>
          <w:tcPr>
            <w:tcW w:w="916" w:type="dxa"/>
            <w:tcBorders>
              <w:top w:val="nil"/>
              <w:left w:val="nil"/>
              <w:bottom w:val="single" w:sz="4" w:space="0" w:color="auto"/>
              <w:right w:val="single" w:sz="4" w:space="0" w:color="auto"/>
            </w:tcBorders>
            <w:shd w:val="clear" w:color="000000" w:fill="FCE4D6"/>
            <w:noWrap/>
            <w:vAlign w:val="center"/>
            <w:hideMark/>
          </w:tcPr>
          <w:p w:rsidR="00550EA7" w:rsidRPr="00CC262D" w:rsidRDefault="00550EA7" w:rsidP="00065E4D">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2033-34</w:t>
            </w:r>
          </w:p>
        </w:tc>
      </w:tr>
      <w:tr w:rsidR="009A07A9" w:rsidRPr="000941B2" w:rsidTr="00065E4D">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9A07A9" w:rsidRPr="00CC262D" w:rsidRDefault="009A07A9" w:rsidP="009A07A9">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Availability</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97432 </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100071 </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99840 </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99136 </w:t>
            </w:r>
          </w:p>
        </w:tc>
        <w:tc>
          <w:tcPr>
            <w:tcW w:w="915"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96449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96416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96256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93728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95907 </w:t>
            </w:r>
          </w:p>
        </w:tc>
        <w:tc>
          <w:tcPr>
            <w:tcW w:w="916"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96058 </w:t>
            </w:r>
          </w:p>
        </w:tc>
      </w:tr>
      <w:tr w:rsidR="009A07A9" w:rsidRPr="000941B2" w:rsidTr="00065E4D">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9A07A9" w:rsidRPr="00CC262D" w:rsidRDefault="009A07A9" w:rsidP="009A07A9">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Requirement</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84997 </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89768 </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94774 </w:t>
            </w:r>
          </w:p>
        </w:tc>
        <w:tc>
          <w:tcPr>
            <w:tcW w:w="914"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100285 </w:t>
            </w:r>
          </w:p>
        </w:tc>
        <w:tc>
          <w:tcPr>
            <w:tcW w:w="915" w:type="dxa"/>
            <w:tcBorders>
              <w:top w:val="nil"/>
              <w:left w:val="nil"/>
              <w:bottom w:val="single" w:sz="4" w:space="0" w:color="auto"/>
              <w:right w:val="single" w:sz="4" w:space="0" w:color="auto"/>
            </w:tcBorders>
            <w:shd w:val="clear" w:color="000000" w:fill="FFF2CC"/>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105957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111638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118116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125101 </w:t>
            </w:r>
          </w:p>
        </w:tc>
        <w:tc>
          <w:tcPr>
            <w:tcW w:w="914"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132599 </w:t>
            </w:r>
          </w:p>
        </w:tc>
        <w:tc>
          <w:tcPr>
            <w:tcW w:w="916" w:type="dxa"/>
            <w:tcBorders>
              <w:top w:val="nil"/>
              <w:left w:val="nil"/>
              <w:bottom w:val="single" w:sz="4" w:space="0" w:color="auto"/>
              <w:right w:val="single" w:sz="4" w:space="0" w:color="auto"/>
            </w:tcBorders>
            <w:shd w:val="clear" w:color="000000" w:fill="FCE4D6"/>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140637 </w:t>
            </w:r>
          </w:p>
        </w:tc>
      </w:tr>
      <w:tr w:rsidR="009A07A9" w:rsidRPr="000941B2" w:rsidTr="00065E4D">
        <w:trPr>
          <w:trHeight w:val="218"/>
        </w:trPr>
        <w:tc>
          <w:tcPr>
            <w:tcW w:w="1763" w:type="dxa"/>
            <w:tcBorders>
              <w:top w:val="nil"/>
              <w:left w:val="single" w:sz="4" w:space="0" w:color="auto"/>
              <w:bottom w:val="single" w:sz="4" w:space="0" w:color="auto"/>
              <w:right w:val="single" w:sz="4" w:space="0" w:color="auto"/>
            </w:tcBorders>
            <w:shd w:val="clear" w:color="000000" w:fill="FFC000"/>
            <w:noWrap/>
            <w:vAlign w:val="bottom"/>
            <w:hideMark/>
          </w:tcPr>
          <w:p w:rsidR="009A07A9" w:rsidRPr="00CC262D" w:rsidRDefault="009A07A9" w:rsidP="009A07A9">
            <w:pPr>
              <w:spacing w:after="0" w:line="240" w:lineRule="auto"/>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Surplus/(Deficit)</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12435 </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10303 </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5066 </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(1149)</w:t>
            </w:r>
          </w:p>
        </w:tc>
        <w:tc>
          <w:tcPr>
            <w:tcW w:w="915"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(9508)</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(15222)</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(21860)</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(31373)</w:t>
            </w:r>
          </w:p>
        </w:tc>
        <w:tc>
          <w:tcPr>
            <w:tcW w:w="914"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(36692)</w:t>
            </w:r>
          </w:p>
        </w:tc>
        <w:tc>
          <w:tcPr>
            <w:tcW w:w="916" w:type="dxa"/>
            <w:tcBorders>
              <w:top w:val="nil"/>
              <w:left w:val="nil"/>
              <w:bottom w:val="single" w:sz="4" w:space="0" w:color="auto"/>
              <w:right w:val="single" w:sz="4" w:space="0" w:color="auto"/>
            </w:tcBorders>
            <w:shd w:val="clear" w:color="000000" w:fill="FFC000"/>
            <w:noWrap/>
            <w:vAlign w:val="center"/>
            <w:hideMark/>
          </w:tcPr>
          <w:p w:rsidR="009A07A9" w:rsidRPr="00CC262D" w:rsidRDefault="009A07A9" w:rsidP="009A07A9">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(44579)</w:t>
            </w:r>
          </w:p>
        </w:tc>
      </w:tr>
      <w:tr w:rsidR="009A07A9" w:rsidRPr="000941B2" w:rsidTr="00065E4D">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9A07A9" w:rsidRPr="00CC262D" w:rsidRDefault="009A07A9" w:rsidP="009A07A9">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 of Surplus to Availability</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15%</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11%</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5%</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-1%</w:t>
            </w:r>
          </w:p>
        </w:tc>
        <w:tc>
          <w:tcPr>
            <w:tcW w:w="915"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-9%</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-14%</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-19%</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-25%</w:t>
            </w:r>
          </w:p>
        </w:tc>
        <w:tc>
          <w:tcPr>
            <w:tcW w:w="914"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-28%</w:t>
            </w:r>
          </w:p>
        </w:tc>
        <w:tc>
          <w:tcPr>
            <w:tcW w:w="916" w:type="dxa"/>
            <w:tcBorders>
              <w:top w:val="nil"/>
              <w:left w:val="nil"/>
              <w:bottom w:val="single" w:sz="4" w:space="0" w:color="auto"/>
              <w:right w:val="single" w:sz="4" w:space="0" w:color="auto"/>
            </w:tcBorders>
            <w:shd w:val="clear" w:color="auto" w:fill="auto"/>
            <w:noWrap/>
            <w:vAlign w:val="center"/>
            <w:hideMark/>
          </w:tcPr>
          <w:p w:rsidR="009A07A9" w:rsidRPr="00CC262D" w:rsidRDefault="009A07A9" w:rsidP="009A07A9">
            <w:pPr>
              <w:spacing w:after="0" w:line="240" w:lineRule="auto"/>
              <w:jc w:val="center"/>
              <w:rPr>
                <w:rFonts w:asciiTheme="minorHAnsi" w:eastAsia="Times New Roman" w:hAnsiTheme="minorHAnsi" w:cstheme="minorHAnsi"/>
                <w:color w:val="000000"/>
                <w:sz w:val="22"/>
              </w:rPr>
            </w:pPr>
            <w:r>
              <w:rPr>
                <w:rFonts w:cs="Calibri"/>
                <w:color w:val="000000"/>
                <w:sz w:val="22"/>
              </w:rPr>
              <w:t>-32%</w:t>
            </w:r>
          </w:p>
        </w:tc>
      </w:tr>
    </w:tbl>
    <w:p w:rsidR="008171B5" w:rsidRDefault="008171B5" w:rsidP="008171B5">
      <w:pPr>
        <w:jc w:val="both"/>
      </w:pPr>
    </w:p>
    <w:p w:rsidR="00327C8C" w:rsidRDefault="00327C8C" w:rsidP="008171B5">
      <w:pPr>
        <w:jc w:val="both"/>
      </w:pPr>
    </w:p>
    <w:p w:rsidR="008304AA" w:rsidRPr="008304AA" w:rsidRDefault="0041423C" w:rsidP="008171B5">
      <w:pPr>
        <w:jc w:val="both"/>
        <w:rPr>
          <w:b/>
          <w:bCs/>
        </w:rPr>
      </w:pPr>
      <w:r w:rsidRPr="0041423C">
        <w:rPr>
          <w:b/>
          <w:bCs/>
        </w:rPr>
        <w:lastRenderedPageBreak/>
        <w:t>Conclusion:</w:t>
      </w:r>
    </w:p>
    <w:p w:rsidR="008171B5" w:rsidRDefault="00C525B7" w:rsidP="008171B5">
      <w:pPr>
        <w:jc w:val="both"/>
      </w:pPr>
      <w:r>
        <w:t>T</w:t>
      </w:r>
      <w:r w:rsidR="008171B5">
        <w:t>he surplus</w:t>
      </w:r>
      <w:r>
        <w:t xml:space="preserve"> for </w:t>
      </w:r>
      <w:r w:rsidR="008304AA">
        <w:t>5</w:t>
      </w:r>
      <w:r w:rsidR="0041423C" w:rsidRPr="0041423C">
        <w:rPr>
          <w:vertAlign w:val="superscript"/>
        </w:rPr>
        <w:t>th</w:t>
      </w:r>
      <w:r w:rsidR="008304AA">
        <w:t xml:space="preserve"> and 6</w:t>
      </w:r>
      <w:r w:rsidR="0041423C" w:rsidRPr="0041423C">
        <w:rPr>
          <w:vertAlign w:val="superscript"/>
        </w:rPr>
        <w:t>th</w:t>
      </w:r>
      <w:r w:rsidR="008304AA">
        <w:t xml:space="preserve"> Control Periods </w:t>
      </w:r>
      <w:r w:rsidR="008171B5">
        <w:t xml:space="preserve">will be reduced in case the combined impact of </w:t>
      </w:r>
      <w:r w:rsidR="00980D4E">
        <w:t>considering LIS projections as received from I&amp;CAD for 5</w:t>
      </w:r>
      <w:r w:rsidR="00980D4E" w:rsidRPr="00C525B7">
        <w:rPr>
          <w:vertAlign w:val="superscript"/>
        </w:rPr>
        <w:t>th</w:t>
      </w:r>
      <w:r w:rsidR="00980D4E">
        <w:t xml:space="preserve"> and 6</w:t>
      </w:r>
      <w:r w:rsidR="00980D4E" w:rsidRPr="00C525B7">
        <w:rPr>
          <w:vertAlign w:val="superscript"/>
        </w:rPr>
        <w:t>th</w:t>
      </w:r>
      <w:r w:rsidR="00980D4E">
        <w:t xml:space="preserve"> Control Period, </w:t>
      </w:r>
      <w:r w:rsidR="008171B5">
        <w:t xml:space="preserve">the delay in commissioning of new generating stations </w:t>
      </w:r>
      <w:r>
        <w:t xml:space="preserve">and availability as per historical actual PLFs </w:t>
      </w:r>
      <w:r w:rsidR="008171B5">
        <w:t>is</w:t>
      </w:r>
      <w:r w:rsidR="008304AA">
        <w:t xml:space="preserve"> considered. The combined impact is </w:t>
      </w:r>
      <w:r w:rsidR="008171B5">
        <w:t xml:space="preserve">as follows: </w:t>
      </w:r>
    </w:p>
    <w:p w:rsidR="008171B5" w:rsidRDefault="008171B5" w:rsidP="008171B5">
      <w:pPr>
        <w:pStyle w:val="Caption"/>
      </w:pPr>
      <w:r>
        <w:t xml:space="preserve">Table </w:t>
      </w:r>
      <w:r w:rsidR="008737D4">
        <w:fldChar w:fldCharType="begin"/>
      </w:r>
      <w:r w:rsidR="00E7272A">
        <w:instrText xml:space="preserve"> SEQ Table \* ARABIC </w:instrText>
      </w:r>
      <w:r w:rsidR="008737D4">
        <w:fldChar w:fldCharType="separate"/>
      </w:r>
      <w:r w:rsidR="00D41256">
        <w:rPr>
          <w:noProof/>
        </w:rPr>
        <w:t>13</w:t>
      </w:r>
      <w:r w:rsidR="008737D4">
        <w:rPr>
          <w:noProof/>
        </w:rPr>
        <w:fldChar w:fldCharType="end"/>
      </w:r>
      <w:r>
        <w:t xml:space="preserve"> Combined impact of delay of commissioning</w:t>
      </w:r>
      <w:r w:rsidR="00C525B7">
        <w:t xml:space="preserve">, </w:t>
      </w:r>
      <w:r>
        <w:t>LIS projection</w:t>
      </w:r>
      <w:r w:rsidR="00C525B7">
        <w:t xml:space="preserve"> from I&amp;CAD and availability as per historical actual PLFs</w:t>
      </w:r>
    </w:p>
    <w:tbl>
      <w:tblPr>
        <w:tblW w:w="10906" w:type="dxa"/>
        <w:tblInd w:w="-545" w:type="dxa"/>
        <w:tblLayout w:type="fixed"/>
        <w:tblLook w:val="04A0"/>
      </w:tblPr>
      <w:tblGrid>
        <w:gridCol w:w="1763"/>
        <w:gridCol w:w="914"/>
        <w:gridCol w:w="914"/>
        <w:gridCol w:w="914"/>
        <w:gridCol w:w="914"/>
        <w:gridCol w:w="915"/>
        <w:gridCol w:w="914"/>
        <w:gridCol w:w="914"/>
        <w:gridCol w:w="914"/>
        <w:gridCol w:w="914"/>
        <w:gridCol w:w="916"/>
      </w:tblGrid>
      <w:tr w:rsidR="008171B5" w:rsidRPr="00CC262D" w:rsidTr="00976D04">
        <w:trPr>
          <w:trHeight w:val="218"/>
          <w:tblHeader/>
        </w:trPr>
        <w:tc>
          <w:tcPr>
            <w:tcW w:w="1763" w:type="dxa"/>
            <w:vMerge w:val="restart"/>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Particular</w:t>
            </w:r>
          </w:p>
        </w:tc>
        <w:tc>
          <w:tcPr>
            <w:tcW w:w="9143" w:type="dxa"/>
            <w:gridSpan w:val="10"/>
            <w:tcBorders>
              <w:top w:val="single" w:sz="4" w:space="0" w:color="auto"/>
              <w:left w:val="nil"/>
              <w:bottom w:val="single" w:sz="4" w:space="0" w:color="auto"/>
              <w:right w:val="single" w:sz="4" w:space="0" w:color="auto"/>
            </w:tcBorders>
            <w:shd w:val="clear" w:color="000000" w:fill="FF89FF"/>
            <w:noWrap/>
            <w:vAlign w:val="bottom"/>
            <w:hideMark/>
          </w:tcPr>
          <w:p w:rsidR="008171B5" w:rsidRPr="00CC262D" w:rsidRDefault="00542CC6" w:rsidP="0005553A">
            <w:pPr>
              <w:spacing w:after="0" w:line="240" w:lineRule="auto"/>
              <w:jc w:val="center"/>
              <w:rPr>
                <w:rFonts w:asciiTheme="minorHAnsi" w:eastAsia="Times New Roman" w:hAnsiTheme="minorHAnsi" w:cstheme="minorHAnsi"/>
                <w:b/>
                <w:bCs/>
                <w:color w:val="000000"/>
                <w:sz w:val="22"/>
              </w:rPr>
            </w:pPr>
            <w:r>
              <w:rPr>
                <w:rFonts w:asciiTheme="minorHAnsi" w:eastAsia="Times New Roman" w:hAnsiTheme="minorHAnsi" w:cstheme="minorHAnsi"/>
                <w:b/>
                <w:bCs/>
                <w:color w:val="000000"/>
                <w:sz w:val="22"/>
              </w:rPr>
              <w:t>I</w:t>
            </w:r>
            <w:r w:rsidR="008171B5">
              <w:rPr>
                <w:rFonts w:asciiTheme="minorHAnsi" w:eastAsia="Times New Roman" w:hAnsiTheme="minorHAnsi" w:cstheme="minorHAnsi"/>
                <w:b/>
                <w:bCs/>
                <w:color w:val="000000"/>
                <w:sz w:val="22"/>
              </w:rPr>
              <w:t xml:space="preserve">mpact of </w:t>
            </w:r>
            <w:r w:rsidR="008171B5" w:rsidRPr="00CC262D">
              <w:rPr>
                <w:rFonts w:asciiTheme="minorHAnsi" w:eastAsia="Times New Roman" w:hAnsiTheme="minorHAnsi" w:cstheme="minorHAnsi"/>
                <w:b/>
                <w:bCs/>
                <w:color w:val="000000"/>
                <w:sz w:val="22"/>
              </w:rPr>
              <w:t xml:space="preserve">Energy Balance in </w:t>
            </w:r>
            <w:proofErr w:type="spellStart"/>
            <w:r w:rsidR="008171B5" w:rsidRPr="00CC262D">
              <w:rPr>
                <w:rFonts w:asciiTheme="minorHAnsi" w:eastAsia="Times New Roman" w:hAnsiTheme="minorHAnsi" w:cstheme="minorHAnsi"/>
                <w:b/>
                <w:bCs/>
                <w:color w:val="000000"/>
                <w:sz w:val="22"/>
              </w:rPr>
              <w:t>Telangana</w:t>
            </w:r>
            <w:proofErr w:type="spellEnd"/>
            <w:r w:rsidR="008171B5" w:rsidRPr="00CC262D">
              <w:rPr>
                <w:rFonts w:asciiTheme="minorHAnsi" w:eastAsia="Times New Roman" w:hAnsiTheme="minorHAnsi" w:cstheme="minorHAnsi"/>
                <w:b/>
                <w:bCs/>
                <w:color w:val="000000"/>
                <w:sz w:val="22"/>
              </w:rPr>
              <w:t xml:space="preserve"> State</w:t>
            </w:r>
          </w:p>
        </w:tc>
      </w:tr>
      <w:tr w:rsidR="008171B5" w:rsidRPr="00CC262D" w:rsidTr="00976D04">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8171B5" w:rsidRPr="00CC262D" w:rsidRDefault="008171B5" w:rsidP="0005553A">
            <w:pPr>
              <w:spacing w:after="0" w:line="240" w:lineRule="auto"/>
              <w:rPr>
                <w:rFonts w:asciiTheme="minorHAnsi" w:eastAsia="Times New Roman" w:hAnsiTheme="minorHAnsi" w:cstheme="minorHAnsi"/>
                <w:b/>
                <w:bCs/>
                <w:color w:val="000000"/>
                <w:sz w:val="22"/>
              </w:rPr>
            </w:pPr>
          </w:p>
        </w:tc>
        <w:tc>
          <w:tcPr>
            <w:tcW w:w="4571" w:type="dxa"/>
            <w:gridSpan w:val="5"/>
            <w:tcBorders>
              <w:top w:val="single" w:sz="4" w:space="0" w:color="auto"/>
              <w:left w:val="nil"/>
              <w:bottom w:val="single" w:sz="4" w:space="0" w:color="auto"/>
              <w:right w:val="single" w:sz="4" w:space="0" w:color="auto"/>
            </w:tcBorders>
            <w:shd w:val="clear" w:color="000000" w:fill="FFF2CC"/>
            <w:noWrap/>
            <w:vAlign w:val="bottom"/>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5th Control Period</w:t>
            </w:r>
          </w:p>
        </w:tc>
        <w:tc>
          <w:tcPr>
            <w:tcW w:w="4572" w:type="dxa"/>
            <w:gridSpan w:val="5"/>
            <w:tcBorders>
              <w:top w:val="single" w:sz="4" w:space="0" w:color="auto"/>
              <w:left w:val="nil"/>
              <w:bottom w:val="single" w:sz="4" w:space="0" w:color="auto"/>
              <w:right w:val="single" w:sz="4" w:space="0" w:color="auto"/>
            </w:tcBorders>
            <w:shd w:val="clear" w:color="000000" w:fill="FCE4D6"/>
            <w:noWrap/>
            <w:vAlign w:val="bottom"/>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6th Control Period</w:t>
            </w:r>
          </w:p>
        </w:tc>
      </w:tr>
      <w:tr w:rsidR="008171B5" w:rsidRPr="000941B2" w:rsidTr="00976D04">
        <w:trPr>
          <w:trHeight w:val="218"/>
          <w:tblHeader/>
        </w:trPr>
        <w:tc>
          <w:tcPr>
            <w:tcW w:w="1763" w:type="dxa"/>
            <w:vMerge/>
            <w:tcBorders>
              <w:top w:val="single" w:sz="4" w:space="0" w:color="auto"/>
              <w:left w:val="single" w:sz="4" w:space="0" w:color="auto"/>
              <w:bottom w:val="single" w:sz="4" w:space="0" w:color="auto"/>
              <w:right w:val="single" w:sz="4" w:space="0" w:color="auto"/>
            </w:tcBorders>
            <w:vAlign w:val="center"/>
            <w:hideMark/>
          </w:tcPr>
          <w:p w:rsidR="008171B5" w:rsidRPr="00CC262D" w:rsidRDefault="008171B5" w:rsidP="0005553A">
            <w:pPr>
              <w:spacing w:after="0" w:line="240" w:lineRule="auto"/>
              <w:rPr>
                <w:rFonts w:asciiTheme="minorHAnsi" w:eastAsia="Times New Roman" w:hAnsiTheme="minorHAnsi" w:cstheme="minorHAnsi"/>
                <w:b/>
                <w:bCs/>
                <w:color w:val="000000"/>
                <w:sz w:val="22"/>
              </w:rPr>
            </w:pP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2024-25</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2025-26</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2026-27</w:t>
            </w:r>
          </w:p>
        </w:tc>
        <w:tc>
          <w:tcPr>
            <w:tcW w:w="914"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2027-28</w:t>
            </w:r>
          </w:p>
        </w:tc>
        <w:tc>
          <w:tcPr>
            <w:tcW w:w="915" w:type="dxa"/>
            <w:tcBorders>
              <w:top w:val="nil"/>
              <w:left w:val="nil"/>
              <w:bottom w:val="single" w:sz="4" w:space="0" w:color="auto"/>
              <w:right w:val="single" w:sz="4" w:space="0" w:color="auto"/>
            </w:tcBorders>
            <w:shd w:val="clear" w:color="000000" w:fill="FFF2CC"/>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2028-29</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2029-30</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2030-31</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2031-32</w:t>
            </w:r>
          </w:p>
        </w:tc>
        <w:tc>
          <w:tcPr>
            <w:tcW w:w="914"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2032-33</w:t>
            </w:r>
          </w:p>
        </w:tc>
        <w:tc>
          <w:tcPr>
            <w:tcW w:w="916" w:type="dxa"/>
            <w:tcBorders>
              <w:top w:val="nil"/>
              <w:left w:val="nil"/>
              <w:bottom w:val="single" w:sz="4" w:space="0" w:color="auto"/>
              <w:right w:val="single" w:sz="4" w:space="0" w:color="auto"/>
            </w:tcBorders>
            <w:shd w:val="clear" w:color="000000" w:fill="FCE4D6"/>
            <w:noWrap/>
            <w:vAlign w:val="center"/>
            <w:hideMark/>
          </w:tcPr>
          <w:p w:rsidR="008171B5" w:rsidRPr="00CC262D" w:rsidRDefault="008171B5" w:rsidP="0005553A">
            <w:pPr>
              <w:spacing w:after="0" w:line="240" w:lineRule="auto"/>
              <w:jc w:val="center"/>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2033-34</w:t>
            </w:r>
          </w:p>
        </w:tc>
      </w:tr>
      <w:tr w:rsidR="00C525B7" w:rsidRPr="000941B2" w:rsidTr="00976D04">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C525B7" w:rsidRPr="00CC262D" w:rsidRDefault="00C525B7" w:rsidP="00C525B7">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Availability</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93191 </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100071 </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99840 </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99136 </w:t>
            </w:r>
          </w:p>
        </w:tc>
        <w:tc>
          <w:tcPr>
            <w:tcW w:w="915"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96449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96416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96256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93728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95907 </w:t>
            </w:r>
          </w:p>
        </w:tc>
        <w:tc>
          <w:tcPr>
            <w:tcW w:w="916"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96058 </w:t>
            </w:r>
          </w:p>
        </w:tc>
      </w:tr>
      <w:tr w:rsidR="00C525B7" w:rsidRPr="000941B2" w:rsidTr="00976D04">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C525B7" w:rsidRPr="00CC262D" w:rsidRDefault="00C525B7" w:rsidP="00C525B7">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Energy Requirement</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90587 </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94885 </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99371 </w:t>
            </w:r>
          </w:p>
        </w:tc>
        <w:tc>
          <w:tcPr>
            <w:tcW w:w="914"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104310 </w:t>
            </w:r>
          </w:p>
        </w:tc>
        <w:tc>
          <w:tcPr>
            <w:tcW w:w="915" w:type="dxa"/>
            <w:tcBorders>
              <w:top w:val="nil"/>
              <w:left w:val="nil"/>
              <w:bottom w:val="single" w:sz="4" w:space="0" w:color="auto"/>
              <w:right w:val="single" w:sz="4" w:space="0" w:color="auto"/>
            </w:tcBorders>
            <w:shd w:val="clear" w:color="000000" w:fill="FFF2CC"/>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109354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114344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120062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126205 </w:t>
            </w:r>
          </w:p>
        </w:tc>
        <w:tc>
          <w:tcPr>
            <w:tcW w:w="914"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132790 </w:t>
            </w:r>
          </w:p>
        </w:tc>
        <w:tc>
          <w:tcPr>
            <w:tcW w:w="916" w:type="dxa"/>
            <w:tcBorders>
              <w:top w:val="nil"/>
              <w:left w:val="nil"/>
              <w:bottom w:val="single" w:sz="4" w:space="0" w:color="auto"/>
              <w:right w:val="single" w:sz="4" w:space="0" w:color="auto"/>
            </w:tcBorders>
            <w:shd w:val="clear" w:color="000000" w:fill="FCE4D6"/>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 xml:space="preserve">139819 </w:t>
            </w:r>
          </w:p>
        </w:tc>
      </w:tr>
      <w:tr w:rsidR="00C525B7" w:rsidRPr="000941B2" w:rsidTr="00844F7E">
        <w:trPr>
          <w:trHeight w:val="218"/>
        </w:trPr>
        <w:tc>
          <w:tcPr>
            <w:tcW w:w="1763" w:type="dxa"/>
            <w:tcBorders>
              <w:top w:val="nil"/>
              <w:left w:val="single" w:sz="4" w:space="0" w:color="auto"/>
              <w:bottom w:val="single" w:sz="4" w:space="0" w:color="auto"/>
              <w:right w:val="single" w:sz="4" w:space="0" w:color="auto"/>
            </w:tcBorders>
            <w:shd w:val="clear" w:color="000000" w:fill="FFC000"/>
            <w:noWrap/>
            <w:vAlign w:val="bottom"/>
            <w:hideMark/>
          </w:tcPr>
          <w:p w:rsidR="00C525B7" w:rsidRPr="00CC262D" w:rsidRDefault="00C525B7" w:rsidP="00C525B7">
            <w:pPr>
              <w:spacing w:after="0" w:line="240" w:lineRule="auto"/>
              <w:rPr>
                <w:rFonts w:asciiTheme="minorHAnsi" w:eastAsia="Times New Roman" w:hAnsiTheme="minorHAnsi" w:cstheme="minorHAnsi"/>
                <w:b/>
                <w:bCs/>
                <w:color w:val="000000"/>
                <w:sz w:val="22"/>
              </w:rPr>
            </w:pPr>
            <w:r w:rsidRPr="00CC262D">
              <w:rPr>
                <w:rFonts w:asciiTheme="minorHAnsi" w:eastAsia="Times New Roman" w:hAnsiTheme="minorHAnsi" w:cstheme="minorHAnsi"/>
                <w:b/>
                <w:bCs/>
                <w:color w:val="000000"/>
                <w:sz w:val="22"/>
              </w:rPr>
              <w:t>Surplus/(Deficit)</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2604 </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5186 </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 xml:space="preserve">469 </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(5174)</w:t>
            </w:r>
          </w:p>
        </w:tc>
        <w:tc>
          <w:tcPr>
            <w:tcW w:w="915"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(12905)</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(17928)</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(23806)</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(32477)</w:t>
            </w:r>
          </w:p>
        </w:tc>
        <w:tc>
          <w:tcPr>
            <w:tcW w:w="914"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(36884)</w:t>
            </w:r>
          </w:p>
        </w:tc>
        <w:tc>
          <w:tcPr>
            <w:tcW w:w="916" w:type="dxa"/>
            <w:tcBorders>
              <w:top w:val="nil"/>
              <w:left w:val="nil"/>
              <w:bottom w:val="single" w:sz="4" w:space="0" w:color="auto"/>
              <w:right w:val="single" w:sz="4" w:space="0" w:color="auto"/>
            </w:tcBorders>
            <w:shd w:val="clear" w:color="000000" w:fill="FFC000"/>
            <w:noWrap/>
            <w:vAlign w:val="center"/>
            <w:hideMark/>
          </w:tcPr>
          <w:p w:rsidR="00C525B7" w:rsidRPr="00CC262D" w:rsidRDefault="00C525B7" w:rsidP="00C525B7">
            <w:pPr>
              <w:spacing w:after="0" w:line="240" w:lineRule="auto"/>
              <w:jc w:val="center"/>
              <w:rPr>
                <w:rFonts w:asciiTheme="minorHAnsi" w:eastAsia="Times New Roman" w:hAnsiTheme="minorHAnsi" w:cstheme="minorHAnsi"/>
                <w:b/>
                <w:bCs/>
                <w:color w:val="000000"/>
                <w:sz w:val="22"/>
              </w:rPr>
            </w:pPr>
            <w:r>
              <w:rPr>
                <w:rFonts w:cs="Calibri"/>
                <w:b/>
                <w:bCs/>
                <w:color w:val="000000"/>
                <w:sz w:val="22"/>
              </w:rPr>
              <w:t>(43761)</w:t>
            </w:r>
          </w:p>
        </w:tc>
      </w:tr>
      <w:tr w:rsidR="00C525B7" w:rsidRPr="000941B2" w:rsidTr="00976D04">
        <w:trPr>
          <w:trHeight w:val="218"/>
        </w:trPr>
        <w:tc>
          <w:tcPr>
            <w:tcW w:w="1763" w:type="dxa"/>
            <w:tcBorders>
              <w:top w:val="nil"/>
              <w:left w:val="single" w:sz="4" w:space="0" w:color="auto"/>
              <w:bottom w:val="single" w:sz="4" w:space="0" w:color="auto"/>
              <w:right w:val="single" w:sz="4" w:space="0" w:color="auto"/>
            </w:tcBorders>
            <w:shd w:val="clear" w:color="auto" w:fill="auto"/>
            <w:noWrap/>
            <w:vAlign w:val="bottom"/>
            <w:hideMark/>
          </w:tcPr>
          <w:p w:rsidR="00C525B7" w:rsidRPr="00CC262D" w:rsidRDefault="00C525B7" w:rsidP="00C525B7">
            <w:pPr>
              <w:spacing w:after="0" w:line="240" w:lineRule="auto"/>
              <w:rPr>
                <w:rFonts w:asciiTheme="minorHAnsi" w:eastAsia="Times New Roman" w:hAnsiTheme="minorHAnsi" w:cstheme="minorHAnsi"/>
                <w:color w:val="000000"/>
                <w:sz w:val="22"/>
              </w:rPr>
            </w:pPr>
            <w:r w:rsidRPr="00CC262D">
              <w:rPr>
                <w:rFonts w:asciiTheme="minorHAnsi" w:eastAsia="Times New Roman" w:hAnsiTheme="minorHAnsi" w:cstheme="minorHAnsi"/>
                <w:color w:val="000000"/>
                <w:sz w:val="22"/>
              </w:rPr>
              <w:t>% of Surplus to Availability</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3%</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5%</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0%</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-5%</w:t>
            </w:r>
          </w:p>
        </w:tc>
        <w:tc>
          <w:tcPr>
            <w:tcW w:w="915"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-12%</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-16%</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-20%</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-26%</w:t>
            </w:r>
          </w:p>
        </w:tc>
        <w:tc>
          <w:tcPr>
            <w:tcW w:w="914"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-28%</w:t>
            </w:r>
          </w:p>
        </w:tc>
        <w:tc>
          <w:tcPr>
            <w:tcW w:w="916" w:type="dxa"/>
            <w:tcBorders>
              <w:top w:val="nil"/>
              <w:left w:val="nil"/>
              <w:bottom w:val="single" w:sz="4" w:space="0" w:color="auto"/>
              <w:right w:val="single" w:sz="4" w:space="0" w:color="auto"/>
            </w:tcBorders>
            <w:shd w:val="clear" w:color="auto" w:fill="auto"/>
            <w:noWrap/>
            <w:vAlign w:val="center"/>
            <w:hideMark/>
          </w:tcPr>
          <w:p w:rsidR="00C525B7" w:rsidRPr="00CC262D" w:rsidRDefault="00C525B7" w:rsidP="00C525B7">
            <w:pPr>
              <w:spacing w:after="0" w:line="240" w:lineRule="auto"/>
              <w:jc w:val="center"/>
              <w:rPr>
                <w:rFonts w:asciiTheme="minorHAnsi" w:eastAsia="Times New Roman" w:hAnsiTheme="minorHAnsi" w:cstheme="minorHAnsi"/>
                <w:color w:val="000000"/>
                <w:sz w:val="22"/>
              </w:rPr>
            </w:pPr>
            <w:r>
              <w:rPr>
                <w:rFonts w:cs="Calibri"/>
                <w:color w:val="000000"/>
                <w:sz w:val="22"/>
              </w:rPr>
              <w:t>-31%</w:t>
            </w:r>
          </w:p>
        </w:tc>
      </w:tr>
    </w:tbl>
    <w:p w:rsidR="008171B5" w:rsidRDefault="008171B5" w:rsidP="008171B5">
      <w:pPr>
        <w:jc w:val="both"/>
      </w:pPr>
    </w:p>
    <w:p w:rsidR="001F3DA8" w:rsidRDefault="001F3DA8" w:rsidP="001F3DA8">
      <w:pPr>
        <w:rPr>
          <w:b/>
          <w:bCs/>
        </w:rPr>
      </w:pPr>
      <w:r>
        <w:rPr>
          <w:b/>
          <w:bCs/>
        </w:rPr>
        <w:t>D</w:t>
      </w:r>
      <w:r w:rsidRPr="00335F1E">
        <w:rPr>
          <w:b/>
          <w:bCs/>
        </w:rPr>
        <w:t xml:space="preserve">) </w:t>
      </w:r>
      <w:r>
        <w:rPr>
          <w:b/>
          <w:bCs/>
        </w:rPr>
        <w:t>Spinning Reserve</w:t>
      </w:r>
    </w:p>
    <w:p w:rsidR="001F3DA8" w:rsidRDefault="001F3DA8" w:rsidP="008171B5">
      <w:pPr>
        <w:jc w:val="both"/>
      </w:pPr>
      <w:r>
        <w:t xml:space="preserve">It is to be noted that for </w:t>
      </w:r>
      <w:r w:rsidR="00474FBB">
        <w:t xml:space="preserve">the power system as a whole of the State there has to be a spinning reserve of 500 MW which corresponds to a 3723 MU with 85% availability. In addition to the above surplus/deficit </w:t>
      </w:r>
      <w:r w:rsidR="004A7342">
        <w:t>(combined</w:t>
      </w:r>
      <w:r w:rsidR="004A7342" w:rsidRPr="004A7342">
        <w:t xml:space="preserve"> impact of delay of commissioning, LIS projection from I&amp;CAD and availability as per historical actual PLFs</w:t>
      </w:r>
      <w:r w:rsidR="004A7342">
        <w:t xml:space="preserve">) </w:t>
      </w:r>
      <w:r w:rsidR="00474FBB">
        <w:t xml:space="preserve">the </w:t>
      </w:r>
      <w:proofErr w:type="spellStart"/>
      <w:r w:rsidR="00474FBB">
        <w:t>Discoms</w:t>
      </w:r>
      <w:proofErr w:type="spellEnd"/>
      <w:r w:rsidR="00474FBB">
        <w:t xml:space="preserve"> have to maintain such quantum in order to maintain the fluctuations in demand and also to maintain 24x7 reliable supply. However,</w:t>
      </w:r>
      <w:r w:rsidR="004A7342">
        <w:t xml:space="preserve"> </w:t>
      </w:r>
      <w:r w:rsidR="00474FBB">
        <w:t>the surplus</w:t>
      </w:r>
      <w:r w:rsidR="004A7342">
        <w:t>/deficit obtained above is less than the requirement of energy corresponding to spinning reserve.</w:t>
      </w:r>
    </w:p>
    <w:p w:rsidR="004A7342" w:rsidRDefault="004A7342" w:rsidP="004A7342">
      <w:pPr>
        <w:rPr>
          <w:b/>
          <w:bCs/>
        </w:rPr>
      </w:pPr>
      <w:r>
        <w:rPr>
          <w:b/>
          <w:bCs/>
        </w:rPr>
        <w:t>E</w:t>
      </w:r>
      <w:r w:rsidRPr="00335F1E">
        <w:rPr>
          <w:b/>
          <w:bCs/>
        </w:rPr>
        <w:t xml:space="preserve">) </w:t>
      </w:r>
      <w:r>
        <w:rPr>
          <w:b/>
          <w:bCs/>
        </w:rPr>
        <w:t>Month wise fluctuations of demand and supply</w:t>
      </w:r>
    </w:p>
    <w:p w:rsidR="004A7342" w:rsidRDefault="004A7342" w:rsidP="008171B5">
      <w:pPr>
        <w:jc w:val="both"/>
      </w:pPr>
      <w:r>
        <w:t xml:space="preserve">It is to be observed that the analysis of the energy balance of the State has been done considering the availability </w:t>
      </w:r>
      <w:r w:rsidR="00CE3179">
        <w:t xml:space="preserve">of power </w:t>
      </w:r>
      <w:r>
        <w:t xml:space="preserve">as well as demand for the year as a whole, however in actual month on month </w:t>
      </w:r>
      <w:r w:rsidR="009E6FD3">
        <w:t>basis</w:t>
      </w:r>
      <w:r>
        <w:t xml:space="preserve"> there will be surplus energy available</w:t>
      </w:r>
      <w:r w:rsidR="00CE3179">
        <w:t xml:space="preserve"> </w:t>
      </w:r>
      <w:r>
        <w:t>in certain</w:t>
      </w:r>
      <w:r w:rsidR="00CE3179">
        <w:t xml:space="preserve"> spells of the day as well as</w:t>
      </w:r>
      <w:r>
        <w:t xml:space="preserve"> month</w:t>
      </w:r>
      <w:r w:rsidR="00CE3179">
        <w:t>s</w:t>
      </w:r>
      <w:r>
        <w:t xml:space="preserve"> and </w:t>
      </w:r>
      <w:r w:rsidR="004614EE">
        <w:t xml:space="preserve">also </w:t>
      </w:r>
      <w:r>
        <w:t>energy deficit in certain</w:t>
      </w:r>
      <w:r w:rsidR="004614EE">
        <w:t xml:space="preserve"> spells of the day as well as</w:t>
      </w:r>
      <w:r>
        <w:t xml:space="preserve"> months. </w:t>
      </w:r>
    </w:p>
    <w:p w:rsidR="004614EE" w:rsidRDefault="0072289E" w:rsidP="008171B5">
      <w:pPr>
        <w:jc w:val="both"/>
      </w:pPr>
      <w:r>
        <w:t>Considering the combined impact of delay of commissioning, LIS projection from I&amp;CAD and availability as per historical actual PLFs in the 5</w:t>
      </w:r>
      <w:r w:rsidR="0041423C" w:rsidRPr="0041423C">
        <w:rPr>
          <w:vertAlign w:val="superscript"/>
        </w:rPr>
        <w:t>th</w:t>
      </w:r>
      <w:r>
        <w:t xml:space="preserve"> Control Period, TS </w:t>
      </w:r>
      <w:proofErr w:type="spellStart"/>
      <w:r>
        <w:t>Discoms</w:t>
      </w:r>
      <w:proofErr w:type="spellEnd"/>
      <w:r>
        <w:t xml:space="preserve"> shall explore entering into PPAs with </w:t>
      </w:r>
      <w:r w:rsidR="00980D4E">
        <w:t xml:space="preserve">upcoming projects of </w:t>
      </w:r>
      <w:r>
        <w:t xml:space="preserve">TS </w:t>
      </w:r>
      <w:proofErr w:type="spellStart"/>
      <w:r>
        <w:t>Genco</w:t>
      </w:r>
      <w:proofErr w:type="spellEnd"/>
      <w:r>
        <w:t xml:space="preserve"> for</w:t>
      </w:r>
      <w:r w:rsidR="00980D4E">
        <w:t xml:space="preserve"> RGO obligation </w:t>
      </w:r>
      <w:r>
        <w:t xml:space="preserve">along with </w:t>
      </w:r>
      <w:proofErr w:type="spellStart"/>
      <w:r>
        <w:t>Singareni</w:t>
      </w:r>
      <w:proofErr w:type="spellEnd"/>
      <w:r>
        <w:t xml:space="preserve"> Phase II (2x800 MW).</w:t>
      </w:r>
    </w:p>
    <w:p w:rsidR="001F3DA8" w:rsidRDefault="008171B5" w:rsidP="008171B5">
      <w:pPr>
        <w:jc w:val="both"/>
      </w:pPr>
      <w:r>
        <w:t>In addition to the above stated submissions (A,</w:t>
      </w:r>
      <w:r w:rsidR="00D71BD7">
        <w:t xml:space="preserve"> </w:t>
      </w:r>
      <w:r>
        <w:t>B</w:t>
      </w:r>
      <w:r w:rsidR="004A7342">
        <w:t>, C, D</w:t>
      </w:r>
      <w:r>
        <w:t xml:space="preserve">&amp; </w:t>
      </w:r>
      <w:r w:rsidR="004A7342">
        <w:t>E</w:t>
      </w:r>
      <w:r>
        <w:t xml:space="preserve">), there are numerous other factors which will affect the energy balance of the State. </w:t>
      </w:r>
    </w:p>
    <w:p w:rsidR="008171B5" w:rsidRDefault="008171B5" w:rsidP="008171B5">
      <w:pPr>
        <w:jc w:val="both"/>
      </w:pPr>
      <w:r>
        <w:lastRenderedPageBreak/>
        <w:t xml:space="preserve">Notwithstanding to the above, </w:t>
      </w:r>
      <w:proofErr w:type="spellStart"/>
      <w:r w:rsidRPr="00C77903">
        <w:t>Discoms</w:t>
      </w:r>
      <w:proofErr w:type="spellEnd"/>
      <w:r w:rsidRPr="00C77903">
        <w:t xml:space="preserve"> shall closely monitor the progress of the construction of new generating stations along with the materialization of additional loads (MU) and accordingly estimate the timelines of availability of power from such generating stations and shall strive to better utilize resultant surplus power in the times blocks/ days / months </w:t>
      </w:r>
      <w:r>
        <w:t>and reduce the</w:t>
      </w:r>
      <w:r w:rsidRPr="00C77903">
        <w:t xml:space="preserve"> burdens on the consumers of the state. In delivering the stated objective, </w:t>
      </w:r>
      <w:proofErr w:type="spellStart"/>
      <w:r w:rsidRPr="00C77903">
        <w:t>Discoms</w:t>
      </w:r>
      <w:proofErr w:type="spellEnd"/>
      <w:r w:rsidRPr="00C77903">
        <w:t xml:space="preserve"> shall consider the following possibilities either individually or combined</w:t>
      </w:r>
      <w:r>
        <w:t>:</w:t>
      </w:r>
    </w:p>
    <w:p w:rsidR="008171B5" w:rsidRDefault="008171B5" w:rsidP="008171B5">
      <w:pPr>
        <w:pStyle w:val="ListParagraph"/>
        <w:numPr>
          <w:ilvl w:val="0"/>
          <w:numId w:val="12"/>
        </w:numPr>
        <w:jc w:val="both"/>
      </w:pPr>
      <w:proofErr w:type="spellStart"/>
      <w:r>
        <w:t>Discoms</w:t>
      </w:r>
      <w:proofErr w:type="spellEnd"/>
      <w:r>
        <w:t xml:space="preserve"> shall explore the possibility of entering Banking Agreements with other states </w:t>
      </w:r>
      <w:proofErr w:type="gramStart"/>
      <w:r>
        <w:t>who</w:t>
      </w:r>
      <w:proofErr w:type="gramEnd"/>
      <w:r>
        <w:t xml:space="preserve"> have different power requirement patterns based on the availability/requirement of power. Banking of power is always beneficial to </w:t>
      </w:r>
      <w:proofErr w:type="spellStart"/>
      <w:r>
        <w:t>Discoms</w:t>
      </w:r>
      <w:proofErr w:type="spellEnd"/>
      <w:r>
        <w:t xml:space="preserve"> as Power will be received during Peak season where market rates will be higher and returned during non-peak season.</w:t>
      </w:r>
    </w:p>
    <w:p w:rsidR="008171B5" w:rsidRDefault="008171B5" w:rsidP="008171B5">
      <w:pPr>
        <w:pStyle w:val="ListParagraph"/>
        <w:numPr>
          <w:ilvl w:val="0"/>
          <w:numId w:val="12"/>
        </w:numPr>
        <w:jc w:val="both"/>
      </w:pPr>
      <w:proofErr w:type="spellStart"/>
      <w:r>
        <w:t>Discoms</w:t>
      </w:r>
      <w:proofErr w:type="spellEnd"/>
      <w:r>
        <w:t xml:space="preserve"> shall utilize the </w:t>
      </w:r>
      <w:r w:rsidRPr="00AB79F4">
        <w:t xml:space="preserve">Surplus Power Portal </w:t>
      </w:r>
      <w:r>
        <w:t xml:space="preserve">i.e., </w:t>
      </w:r>
      <w:proofErr w:type="spellStart"/>
      <w:r>
        <w:t>PUShP</w:t>
      </w:r>
      <w:proofErr w:type="spellEnd"/>
      <w:r>
        <w:t xml:space="preserve"> platform an initiative by </w:t>
      </w:r>
      <w:proofErr w:type="spellStart"/>
      <w:r>
        <w:t>MoP</w:t>
      </w:r>
      <w:proofErr w:type="spellEnd"/>
      <w:r>
        <w:t xml:space="preserve">, </w:t>
      </w:r>
      <w:proofErr w:type="spellStart"/>
      <w:r>
        <w:t>GoI</w:t>
      </w:r>
      <w:proofErr w:type="spellEnd"/>
      <w:r>
        <w:t xml:space="preserve"> where it is possible for the </w:t>
      </w:r>
      <w:proofErr w:type="spellStart"/>
      <w:r>
        <w:t>Discoms</w:t>
      </w:r>
      <w:proofErr w:type="spellEnd"/>
      <w:r>
        <w:t xml:space="preserve"> to </w:t>
      </w:r>
      <w:r w:rsidRPr="00D00319">
        <w:t xml:space="preserve">indicate their surplus power in times </w:t>
      </w:r>
      <w:r>
        <w:t>blocks</w:t>
      </w:r>
      <w:r w:rsidRPr="00D00319">
        <w:t>/ days / months on portal</w:t>
      </w:r>
      <w:r>
        <w:t xml:space="preserve"> from all of their tied-up sources. </w:t>
      </w:r>
      <w:r w:rsidRPr="00EE1DEA">
        <w:t xml:space="preserve">Those </w:t>
      </w:r>
      <w:proofErr w:type="spellStart"/>
      <w:r w:rsidRPr="00EE1DEA">
        <w:t>D</w:t>
      </w:r>
      <w:r>
        <w:t>iscom</w:t>
      </w:r>
      <w:r w:rsidRPr="00EE1DEA">
        <w:t>s</w:t>
      </w:r>
      <w:proofErr w:type="spellEnd"/>
      <w:r>
        <w:t xml:space="preserve"> of other States</w:t>
      </w:r>
      <w:r w:rsidRPr="00EE1DEA">
        <w:t xml:space="preserve"> who need power will be able to requisition the surplus power</w:t>
      </w:r>
      <w:r>
        <w:t xml:space="preserve"> and the new buyer has to pay both Fixed Charges and Variable Charges as determined by the appropriate Regulatory Commission. This shall reduce the fixed cost burden on the </w:t>
      </w:r>
      <w:proofErr w:type="spellStart"/>
      <w:r>
        <w:t>Discoms</w:t>
      </w:r>
      <w:proofErr w:type="spellEnd"/>
      <w:r>
        <w:t xml:space="preserve"> and will also enable all the available generation capacity to be utilized. TS </w:t>
      </w:r>
      <w:proofErr w:type="spellStart"/>
      <w:r>
        <w:t>Discoms</w:t>
      </w:r>
      <w:proofErr w:type="spellEnd"/>
      <w:r>
        <w:t xml:space="preserve">, have already utilized the services of </w:t>
      </w:r>
      <w:proofErr w:type="spellStart"/>
      <w:r>
        <w:t>PUShP</w:t>
      </w:r>
      <w:proofErr w:type="spellEnd"/>
      <w:r>
        <w:t xml:space="preserve"> platform in order to meet its requirements in the month of May 2023.</w:t>
      </w:r>
    </w:p>
    <w:p w:rsidR="008171B5" w:rsidRDefault="008171B5" w:rsidP="008171B5">
      <w:pPr>
        <w:pStyle w:val="ListParagraph"/>
        <w:numPr>
          <w:ilvl w:val="0"/>
          <w:numId w:val="12"/>
        </w:numPr>
        <w:jc w:val="both"/>
      </w:pPr>
      <w:r>
        <w:t xml:space="preserve">Apart from the above two possibilities, </w:t>
      </w:r>
      <w:proofErr w:type="spellStart"/>
      <w:r>
        <w:t>Discoms</w:t>
      </w:r>
      <w:proofErr w:type="spellEnd"/>
      <w:r>
        <w:t xml:space="preserve"> shall also strive to materialize revenue from any resultant surplus in smaller time periods by selling the surplus power in the power exchanges. </w:t>
      </w:r>
      <w:r w:rsidR="00D71BD7">
        <w:t xml:space="preserve">In the year FY 2022-23, TS </w:t>
      </w:r>
      <w:proofErr w:type="spellStart"/>
      <w:r w:rsidR="00D71BD7">
        <w:t>Discoms</w:t>
      </w:r>
      <w:proofErr w:type="spellEnd"/>
      <w:r w:rsidR="00D71BD7">
        <w:t xml:space="preserve"> have sold 2952 MU and realized a revenue of Rs. 1694 </w:t>
      </w:r>
      <w:proofErr w:type="spellStart"/>
      <w:r w:rsidR="00D71BD7">
        <w:t>Crore</w:t>
      </w:r>
      <w:proofErr w:type="spellEnd"/>
      <w:r w:rsidR="00D71BD7">
        <w:t xml:space="preserve"> and for FY 2023-24 Q1, TS </w:t>
      </w:r>
      <w:proofErr w:type="spellStart"/>
      <w:r w:rsidR="00D71BD7">
        <w:t>Discoms</w:t>
      </w:r>
      <w:proofErr w:type="spellEnd"/>
      <w:r w:rsidR="00D71BD7">
        <w:t xml:space="preserve"> have sold 482 MU and realized a revenue of Rs. 179 </w:t>
      </w:r>
      <w:proofErr w:type="spellStart"/>
      <w:r w:rsidR="00D71BD7">
        <w:t>Crore</w:t>
      </w:r>
      <w:proofErr w:type="spellEnd"/>
      <w:r w:rsidR="00D71BD7">
        <w:t>.</w:t>
      </w:r>
    </w:p>
    <w:p w:rsidR="00FF3E89" w:rsidRDefault="0032244C" w:rsidP="008171B5">
      <w:pPr>
        <w:pStyle w:val="ListParagraph"/>
        <w:numPr>
          <w:ilvl w:val="0"/>
          <w:numId w:val="12"/>
        </w:numPr>
        <w:jc w:val="both"/>
      </w:pPr>
      <w:r>
        <w:t xml:space="preserve">TS </w:t>
      </w:r>
      <w:proofErr w:type="spellStart"/>
      <w:r>
        <w:t>D</w:t>
      </w:r>
      <w:r w:rsidR="001A4D58">
        <w:t>iscoms</w:t>
      </w:r>
      <w:proofErr w:type="spellEnd"/>
      <w:r w:rsidR="001A4D58">
        <w:t xml:space="preserve"> shall explore the </w:t>
      </w:r>
      <w:r w:rsidR="00F714C4">
        <w:t xml:space="preserve">Battery </w:t>
      </w:r>
      <w:r w:rsidR="00CE7C3E">
        <w:t xml:space="preserve">energy storage </w:t>
      </w:r>
      <w:r w:rsidR="00F714C4">
        <w:t xml:space="preserve">systems for </w:t>
      </w:r>
      <w:r w:rsidR="00AD0544">
        <w:t>utilizing the surplus energy</w:t>
      </w:r>
      <w:r w:rsidR="00D71B66">
        <w:t xml:space="preserve"> and</w:t>
      </w:r>
      <w:r w:rsidR="00AD0544">
        <w:t xml:space="preserve"> </w:t>
      </w:r>
      <w:r w:rsidR="00D71B66">
        <w:t xml:space="preserve">feeding back to the system during the period of </w:t>
      </w:r>
      <w:r w:rsidR="00E75900">
        <w:t>peak</w:t>
      </w:r>
      <w:r w:rsidR="000A6B72">
        <w:t xml:space="preserve"> hours thereby </w:t>
      </w:r>
      <w:r w:rsidR="00C97645">
        <w:t>reducing the dependency on the short</w:t>
      </w:r>
      <w:r w:rsidR="004614EE">
        <w:t>-</w:t>
      </w:r>
      <w:r w:rsidR="00C97645">
        <w:t>term power purchases to balance the demand and supply</w:t>
      </w:r>
      <w:r w:rsidR="003D5912">
        <w:t>.</w:t>
      </w:r>
    </w:p>
    <w:p w:rsidR="007F5FFC" w:rsidRDefault="007F5FFC"/>
    <w:sectPr w:rsidR="007F5FFC" w:rsidSect="000A2B4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178" w:rsidRDefault="00E31178" w:rsidP="0047688B">
      <w:pPr>
        <w:spacing w:after="0" w:line="240" w:lineRule="auto"/>
      </w:pPr>
      <w:r>
        <w:separator/>
      </w:r>
    </w:p>
  </w:endnote>
  <w:endnote w:type="continuationSeparator" w:id="0">
    <w:p w:rsidR="00E31178" w:rsidRDefault="00E31178" w:rsidP="0047688B">
      <w:pPr>
        <w:spacing w:after="0" w:line="240" w:lineRule="auto"/>
      </w:pPr>
      <w:r>
        <w:continuationSeparator/>
      </w:r>
    </w:p>
  </w:endnote>
  <w:endnote w:type="continuationNotice" w:id="1">
    <w:p w:rsidR="00E31178" w:rsidRDefault="00E31178">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4D" w:rsidRDefault="00065E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798628"/>
      <w:docPartObj>
        <w:docPartGallery w:val="Page Numbers (Bottom of Page)"/>
        <w:docPartUnique/>
      </w:docPartObj>
    </w:sdtPr>
    <w:sdtContent>
      <w:sdt>
        <w:sdtPr>
          <w:id w:val="1728636285"/>
          <w:docPartObj>
            <w:docPartGallery w:val="Page Numbers (Top of Page)"/>
            <w:docPartUnique/>
          </w:docPartObj>
        </w:sdtPr>
        <w:sdtContent>
          <w:p w:rsidR="00065E4D" w:rsidRDefault="00065E4D">
            <w:pPr>
              <w:pStyle w:val="Footer"/>
              <w:jc w:val="center"/>
            </w:pPr>
            <w:r>
              <w:t xml:space="preserve">Page </w:t>
            </w:r>
            <w:r w:rsidR="008737D4">
              <w:rPr>
                <w:b/>
                <w:bCs/>
                <w:szCs w:val="24"/>
              </w:rPr>
              <w:fldChar w:fldCharType="begin"/>
            </w:r>
            <w:r>
              <w:rPr>
                <w:b/>
                <w:bCs/>
              </w:rPr>
              <w:instrText xml:space="preserve"> PAGE </w:instrText>
            </w:r>
            <w:r w:rsidR="008737D4">
              <w:rPr>
                <w:b/>
                <w:bCs/>
                <w:szCs w:val="24"/>
              </w:rPr>
              <w:fldChar w:fldCharType="separate"/>
            </w:r>
            <w:r w:rsidR="00D41256">
              <w:rPr>
                <w:b/>
                <w:bCs/>
                <w:noProof/>
              </w:rPr>
              <w:t>2</w:t>
            </w:r>
            <w:r w:rsidR="008737D4">
              <w:rPr>
                <w:b/>
                <w:bCs/>
                <w:szCs w:val="24"/>
              </w:rPr>
              <w:fldChar w:fldCharType="end"/>
            </w:r>
            <w:r>
              <w:t xml:space="preserve"> of </w:t>
            </w:r>
            <w:r w:rsidR="008737D4">
              <w:rPr>
                <w:b/>
                <w:bCs/>
                <w:szCs w:val="24"/>
              </w:rPr>
              <w:fldChar w:fldCharType="begin"/>
            </w:r>
            <w:r>
              <w:rPr>
                <w:b/>
                <w:bCs/>
              </w:rPr>
              <w:instrText xml:space="preserve"> NUMPAGES  </w:instrText>
            </w:r>
            <w:r w:rsidR="008737D4">
              <w:rPr>
                <w:b/>
                <w:bCs/>
                <w:szCs w:val="24"/>
              </w:rPr>
              <w:fldChar w:fldCharType="separate"/>
            </w:r>
            <w:r w:rsidR="00D41256">
              <w:rPr>
                <w:b/>
                <w:bCs/>
                <w:noProof/>
              </w:rPr>
              <w:t>14</w:t>
            </w:r>
            <w:r w:rsidR="008737D4">
              <w:rPr>
                <w:b/>
                <w:bCs/>
                <w:szCs w:val="24"/>
              </w:rPr>
              <w:fldChar w:fldCharType="end"/>
            </w:r>
          </w:p>
        </w:sdtContent>
      </w:sdt>
    </w:sdtContent>
  </w:sdt>
  <w:p w:rsidR="00065E4D" w:rsidRDefault="00065E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4D" w:rsidRDefault="00065E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178" w:rsidRDefault="00E31178" w:rsidP="0047688B">
      <w:pPr>
        <w:spacing w:after="0" w:line="240" w:lineRule="auto"/>
      </w:pPr>
      <w:r>
        <w:separator/>
      </w:r>
    </w:p>
  </w:footnote>
  <w:footnote w:type="continuationSeparator" w:id="0">
    <w:p w:rsidR="00E31178" w:rsidRDefault="00E31178" w:rsidP="0047688B">
      <w:pPr>
        <w:spacing w:after="0" w:line="240" w:lineRule="auto"/>
      </w:pPr>
      <w:r>
        <w:continuationSeparator/>
      </w:r>
    </w:p>
  </w:footnote>
  <w:footnote w:type="continuationNotice" w:id="1">
    <w:p w:rsidR="00E31178" w:rsidRDefault="00E31178">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4D" w:rsidRDefault="00065E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4D" w:rsidRDefault="00065E4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4D" w:rsidRDefault="00065E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0E87A4"/>
    <w:multiLevelType w:val="hybridMultilevel"/>
    <w:tmpl w:val="DED26F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847377"/>
    <w:multiLevelType w:val="hybridMultilevel"/>
    <w:tmpl w:val="6EF4EBD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11376B0"/>
    <w:multiLevelType w:val="hybridMultilevel"/>
    <w:tmpl w:val="8B0CF4AE"/>
    <w:lvl w:ilvl="0" w:tplc="D3C255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C15EBF"/>
    <w:multiLevelType w:val="hybridMultilevel"/>
    <w:tmpl w:val="00E011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728D8"/>
    <w:multiLevelType w:val="hybridMultilevel"/>
    <w:tmpl w:val="F8BE22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7DACEA"/>
    <w:multiLevelType w:val="hybridMultilevel"/>
    <w:tmpl w:val="0E5DCE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630F9E7"/>
    <w:multiLevelType w:val="hybridMultilevel"/>
    <w:tmpl w:val="CF3405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A6E1208"/>
    <w:multiLevelType w:val="hybridMultilevel"/>
    <w:tmpl w:val="7C205E9A"/>
    <w:lvl w:ilvl="0" w:tplc="B9B26E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168845"/>
    <w:multiLevelType w:val="hybridMultilevel"/>
    <w:tmpl w:val="FD2A57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3DD138C"/>
    <w:multiLevelType w:val="hybridMultilevel"/>
    <w:tmpl w:val="1930CBF8"/>
    <w:lvl w:ilvl="0" w:tplc="04090017">
      <w:start w:val="1"/>
      <w:numFmt w:val="lowerLetter"/>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0">
    <w:nsid w:val="31C76814"/>
    <w:multiLevelType w:val="hybridMultilevel"/>
    <w:tmpl w:val="068EF2C6"/>
    <w:lvl w:ilvl="0" w:tplc="D3C2553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126D8C"/>
    <w:multiLevelType w:val="hybridMultilevel"/>
    <w:tmpl w:val="6EF4EB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886853"/>
    <w:multiLevelType w:val="hybridMultilevel"/>
    <w:tmpl w:val="7C205E9A"/>
    <w:lvl w:ilvl="0" w:tplc="B9B26E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D474B0"/>
    <w:multiLevelType w:val="hybridMultilevel"/>
    <w:tmpl w:val="AF26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EE77FD"/>
    <w:multiLevelType w:val="hybridMultilevel"/>
    <w:tmpl w:val="D110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9A5C55"/>
    <w:multiLevelType w:val="multilevel"/>
    <w:tmpl w:val="DACA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4C01F7"/>
    <w:multiLevelType w:val="hybridMultilevel"/>
    <w:tmpl w:val="FB2E9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34390C"/>
    <w:multiLevelType w:val="hybridMultilevel"/>
    <w:tmpl w:val="62A81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8"/>
  </w:num>
  <w:num w:numId="4">
    <w:abstractNumId w:val="6"/>
  </w:num>
  <w:num w:numId="5">
    <w:abstractNumId w:val="0"/>
  </w:num>
  <w:num w:numId="6">
    <w:abstractNumId w:val="4"/>
  </w:num>
  <w:num w:numId="7">
    <w:abstractNumId w:val="14"/>
  </w:num>
  <w:num w:numId="8">
    <w:abstractNumId w:val="16"/>
  </w:num>
  <w:num w:numId="9">
    <w:abstractNumId w:val="17"/>
  </w:num>
  <w:num w:numId="10">
    <w:abstractNumId w:val="13"/>
  </w:num>
  <w:num w:numId="11">
    <w:abstractNumId w:val="15"/>
  </w:num>
  <w:num w:numId="12">
    <w:abstractNumId w:val="9"/>
  </w:num>
  <w:num w:numId="13">
    <w:abstractNumId w:val="1"/>
  </w:num>
  <w:num w:numId="14">
    <w:abstractNumId w:val="3"/>
  </w:num>
  <w:num w:numId="15">
    <w:abstractNumId w:val="7"/>
  </w:num>
  <w:num w:numId="16">
    <w:abstractNumId w:val="12"/>
  </w:num>
  <w:num w:numId="17">
    <w:abstractNumId w:val="10"/>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hwateja Bodla (IN)">
    <w15:presenceInfo w15:providerId="AD" w15:userId="S::vishwateja.bodla@pwc.com::39ad68ad-5246-4f27-9953-611a6489f8b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4098"/>
  </w:hdrShapeDefaults>
  <w:footnotePr>
    <w:footnote w:id="-1"/>
    <w:footnote w:id="0"/>
    <w:footnote w:id="1"/>
  </w:footnotePr>
  <w:endnotePr>
    <w:endnote w:id="-1"/>
    <w:endnote w:id="0"/>
    <w:endnote w:id="1"/>
  </w:endnotePr>
  <w:compat/>
  <w:rsids>
    <w:rsidRoot w:val="00C13199"/>
    <w:rsid w:val="00001A63"/>
    <w:rsid w:val="00003B61"/>
    <w:rsid w:val="00003CBD"/>
    <w:rsid w:val="00006199"/>
    <w:rsid w:val="000062B8"/>
    <w:rsid w:val="00006EB9"/>
    <w:rsid w:val="000122A4"/>
    <w:rsid w:val="00012372"/>
    <w:rsid w:val="00014F49"/>
    <w:rsid w:val="00020180"/>
    <w:rsid w:val="0002261B"/>
    <w:rsid w:val="00023760"/>
    <w:rsid w:val="0002718F"/>
    <w:rsid w:val="000272F9"/>
    <w:rsid w:val="000276BB"/>
    <w:rsid w:val="00030E48"/>
    <w:rsid w:val="000310F1"/>
    <w:rsid w:val="00031C34"/>
    <w:rsid w:val="000324BE"/>
    <w:rsid w:val="00041513"/>
    <w:rsid w:val="000415C3"/>
    <w:rsid w:val="000421F7"/>
    <w:rsid w:val="0004395A"/>
    <w:rsid w:val="00045645"/>
    <w:rsid w:val="0004630B"/>
    <w:rsid w:val="00046EFE"/>
    <w:rsid w:val="000506CD"/>
    <w:rsid w:val="0005083F"/>
    <w:rsid w:val="0005553A"/>
    <w:rsid w:val="00055920"/>
    <w:rsid w:val="00056828"/>
    <w:rsid w:val="00057812"/>
    <w:rsid w:val="00057914"/>
    <w:rsid w:val="00060789"/>
    <w:rsid w:val="00060FA4"/>
    <w:rsid w:val="0006244B"/>
    <w:rsid w:val="00065634"/>
    <w:rsid w:val="000656E3"/>
    <w:rsid w:val="00065DEE"/>
    <w:rsid w:val="00065E4D"/>
    <w:rsid w:val="00071EB4"/>
    <w:rsid w:val="0007271C"/>
    <w:rsid w:val="00072D14"/>
    <w:rsid w:val="00072F2C"/>
    <w:rsid w:val="00075E07"/>
    <w:rsid w:val="000762BE"/>
    <w:rsid w:val="00076B96"/>
    <w:rsid w:val="00077085"/>
    <w:rsid w:val="000771AB"/>
    <w:rsid w:val="00080BE8"/>
    <w:rsid w:val="000810A4"/>
    <w:rsid w:val="00081E11"/>
    <w:rsid w:val="00081EFB"/>
    <w:rsid w:val="000827C4"/>
    <w:rsid w:val="00082F6F"/>
    <w:rsid w:val="00085ED4"/>
    <w:rsid w:val="00085FCC"/>
    <w:rsid w:val="000878E2"/>
    <w:rsid w:val="00087FDB"/>
    <w:rsid w:val="00091021"/>
    <w:rsid w:val="0009102C"/>
    <w:rsid w:val="000941B2"/>
    <w:rsid w:val="0009676D"/>
    <w:rsid w:val="000A1603"/>
    <w:rsid w:val="000A1E40"/>
    <w:rsid w:val="000A2B47"/>
    <w:rsid w:val="000A2C40"/>
    <w:rsid w:val="000A568B"/>
    <w:rsid w:val="000A5A59"/>
    <w:rsid w:val="000A6404"/>
    <w:rsid w:val="000A6B72"/>
    <w:rsid w:val="000A6EF3"/>
    <w:rsid w:val="000B0885"/>
    <w:rsid w:val="000B1188"/>
    <w:rsid w:val="000B3464"/>
    <w:rsid w:val="000B3C69"/>
    <w:rsid w:val="000B42AE"/>
    <w:rsid w:val="000B43CB"/>
    <w:rsid w:val="000B53EE"/>
    <w:rsid w:val="000B552C"/>
    <w:rsid w:val="000B5F78"/>
    <w:rsid w:val="000B6947"/>
    <w:rsid w:val="000C2648"/>
    <w:rsid w:val="000C3782"/>
    <w:rsid w:val="000C53AE"/>
    <w:rsid w:val="000C5D41"/>
    <w:rsid w:val="000C6826"/>
    <w:rsid w:val="000C697D"/>
    <w:rsid w:val="000C78B6"/>
    <w:rsid w:val="000D0452"/>
    <w:rsid w:val="000D10EA"/>
    <w:rsid w:val="000D15EE"/>
    <w:rsid w:val="000D16E1"/>
    <w:rsid w:val="000D5703"/>
    <w:rsid w:val="000D67DE"/>
    <w:rsid w:val="000E1156"/>
    <w:rsid w:val="000E3EB6"/>
    <w:rsid w:val="000E7345"/>
    <w:rsid w:val="000F0432"/>
    <w:rsid w:val="000F1747"/>
    <w:rsid w:val="000F4A83"/>
    <w:rsid w:val="000F6D04"/>
    <w:rsid w:val="0010132D"/>
    <w:rsid w:val="00102754"/>
    <w:rsid w:val="00102E75"/>
    <w:rsid w:val="001038F4"/>
    <w:rsid w:val="00103AC3"/>
    <w:rsid w:val="00111371"/>
    <w:rsid w:val="001121CA"/>
    <w:rsid w:val="00112C48"/>
    <w:rsid w:val="00113568"/>
    <w:rsid w:val="00114F00"/>
    <w:rsid w:val="001162A7"/>
    <w:rsid w:val="00120ABC"/>
    <w:rsid w:val="00126BA8"/>
    <w:rsid w:val="001273FE"/>
    <w:rsid w:val="001310D4"/>
    <w:rsid w:val="001315BB"/>
    <w:rsid w:val="001333B1"/>
    <w:rsid w:val="00134FFE"/>
    <w:rsid w:val="0013658D"/>
    <w:rsid w:val="00137353"/>
    <w:rsid w:val="001409D2"/>
    <w:rsid w:val="00140C42"/>
    <w:rsid w:val="0014436C"/>
    <w:rsid w:val="0014487A"/>
    <w:rsid w:val="0014657A"/>
    <w:rsid w:val="00151CCB"/>
    <w:rsid w:val="001539E5"/>
    <w:rsid w:val="00153DC7"/>
    <w:rsid w:val="00155E07"/>
    <w:rsid w:val="00156332"/>
    <w:rsid w:val="00156746"/>
    <w:rsid w:val="00162F2A"/>
    <w:rsid w:val="00164E21"/>
    <w:rsid w:val="00166235"/>
    <w:rsid w:val="00166E9A"/>
    <w:rsid w:val="00167B65"/>
    <w:rsid w:val="00170DED"/>
    <w:rsid w:val="00173F3B"/>
    <w:rsid w:val="0017450F"/>
    <w:rsid w:val="0017631E"/>
    <w:rsid w:val="00177434"/>
    <w:rsid w:val="001805DE"/>
    <w:rsid w:val="00180CE5"/>
    <w:rsid w:val="00182224"/>
    <w:rsid w:val="00182929"/>
    <w:rsid w:val="00183784"/>
    <w:rsid w:val="00184304"/>
    <w:rsid w:val="001856A1"/>
    <w:rsid w:val="00186784"/>
    <w:rsid w:val="00187CDC"/>
    <w:rsid w:val="001926E0"/>
    <w:rsid w:val="0019475D"/>
    <w:rsid w:val="001951EA"/>
    <w:rsid w:val="00195FDC"/>
    <w:rsid w:val="00196D98"/>
    <w:rsid w:val="00197555"/>
    <w:rsid w:val="0019794F"/>
    <w:rsid w:val="001A21B0"/>
    <w:rsid w:val="001A4D58"/>
    <w:rsid w:val="001A6D1B"/>
    <w:rsid w:val="001A74BE"/>
    <w:rsid w:val="001A758A"/>
    <w:rsid w:val="001A7AB9"/>
    <w:rsid w:val="001B06DC"/>
    <w:rsid w:val="001B3397"/>
    <w:rsid w:val="001B6F07"/>
    <w:rsid w:val="001B7303"/>
    <w:rsid w:val="001B7682"/>
    <w:rsid w:val="001B786E"/>
    <w:rsid w:val="001C0A2B"/>
    <w:rsid w:val="001C0A99"/>
    <w:rsid w:val="001C2316"/>
    <w:rsid w:val="001C26AA"/>
    <w:rsid w:val="001C400C"/>
    <w:rsid w:val="001C54ED"/>
    <w:rsid w:val="001D1274"/>
    <w:rsid w:val="001D16F9"/>
    <w:rsid w:val="001D47D4"/>
    <w:rsid w:val="001D5D9E"/>
    <w:rsid w:val="001D7074"/>
    <w:rsid w:val="001E0E5B"/>
    <w:rsid w:val="001E0EC3"/>
    <w:rsid w:val="001E0F44"/>
    <w:rsid w:val="001E1B93"/>
    <w:rsid w:val="001E6AA1"/>
    <w:rsid w:val="001F05B6"/>
    <w:rsid w:val="001F0903"/>
    <w:rsid w:val="001F0D25"/>
    <w:rsid w:val="001F1C1E"/>
    <w:rsid w:val="001F274E"/>
    <w:rsid w:val="001F3DA8"/>
    <w:rsid w:val="001F5EB5"/>
    <w:rsid w:val="001F786F"/>
    <w:rsid w:val="00205766"/>
    <w:rsid w:val="00205FFD"/>
    <w:rsid w:val="002109DF"/>
    <w:rsid w:val="00213A89"/>
    <w:rsid w:val="002168E5"/>
    <w:rsid w:val="00216DA5"/>
    <w:rsid w:val="002172C4"/>
    <w:rsid w:val="00222A33"/>
    <w:rsid w:val="00223456"/>
    <w:rsid w:val="00224488"/>
    <w:rsid w:val="00224B74"/>
    <w:rsid w:val="00224CC8"/>
    <w:rsid w:val="00224DF2"/>
    <w:rsid w:val="00227850"/>
    <w:rsid w:val="00230A45"/>
    <w:rsid w:val="002312EE"/>
    <w:rsid w:val="002313E5"/>
    <w:rsid w:val="002313EB"/>
    <w:rsid w:val="002315B2"/>
    <w:rsid w:val="00231CAE"/>
    <w:rsid w:val="00231F5E"/>
    <w:rsid w:val="002330D2"/>
    <w:rsid w:val="00234E68"/>
    <w:rsid w:val="0023712E"/>
    <w:rsid w:val="00240D87"/>
    <w:rsid w:val="00243167"/>
    <w:rsid w:val="002434C2"/>
    <w:rsid w:val="00243ED9"/>
    <w:rsid w:val="0024415E"/>
    <w:rsid w:val="00244238"/>
    <w:rsid w:val="00245E44"/>
    <w:rsid w:val="002469B7"/>
    <w:rsid w:val="00250F09"/>
    <w:rsid w:val="0025140F"/>
    <w:rsid w:val="0025262A"/>
    <w:rsid w:val="00252A80"/>
    <w:rsid w:val="0025486F"/>
    <w:rsid w:val="00254B81"/>
    <w:rsid w:val="0025515E"/>
    <w:rsid w:val="00255481"/>
    <w:rsid w:val="00256AE7"/>
    <w:rsid w:val="00257914"/>
    <w:rsid w:val="00261616"/>
    <w:rsid w:val="0026163E"/>
    <w:rsid w:val="002634DD"/>
    <w:rsid w:val="00263EC5"/>
    <w:rsid w:val="00263FD7"/>
    <w:rsid w:val="002640E4"/>
    <w:rsid w:val="00265262"/>
    <w:rsid w:val="0026532C"/>
    <w:rsid w:val="00265CBF"/>
    <w:rsid w:val="002676F7"/>
    <w:rsid w:val="0027003C"/>
    <w:rsid w:val="002723C4"/>
    <w:rsid w:val="00272B21"/>
    <w:rsid w:val="002743ED"/>
    <w:rsid w:val="002757B4"/>
    <w:rsid w:val="00277856"/>
    <w:rsid w:val="00281050"/>
    <w:rsid w:val="00283C4C"/>
    <w:rsid w:val="00283D9E"/>
    <w:rsid w:val="00283FF2"/>
    <w:rsid w:val="0028558D"/>
    <w:rsid w:val="002863BF"/>
    <w:rsid w:val="002869C0"/>
    <w:rsid w:val="002871F2"/>
    <w:rsid w:val="00290137"/>
    <w:rsid w:val="0029099E"/>
    <w:rsid w:val="00290BE5"/>
    <w:rsid w:val="00291A4F"/>
    <w:rsid w:val="00291B6D"/>
    <w:rsid w:val="00293513"/>
    <w:rsid w:val="00294C87"/>
    <w:rsid w:val="00294ECC"/>
    <w:rsid w:val="002A1206"/>
    <w:rsid w:val="002A2112"/>
    <w:rsid w:val="002A21C1"/>
    <w:rsid w:val="002A31E6"/>
    <w:rsid w:val="002A3950"/>
    <w:rsid w:val="002A5347"/>
    <w:rsid w:val="002A6A8A"/>
    <w:rsid w:val="002A6F2B"/>
    <w:rsid w:val="002A7209"/>
    <w:rsid w:val="002B10A4"/>
    <w:rsid w:val="002B1D93"/>
    <w:rsid w:val="002B294F"/>
    <w:rsid w:val="002B34F4"/>
    <w:rsid w:val="002B3A0C"/>
    <w:rsid w:val="002B5FEE"/>
    <w:rsid w:val="002B7886"/>
    <w:rsid w:val="002C1C50"/>
    <w:rsid w:val="002C2116"/>
    <w:rsid w:val="002C2237"/>
    <w:rsid w:val="002C7964"/>
    <w:rsid w:val="002C7BC4"/>
    <w:rsid w:val="002D16FD"/>
    <w:rsid w:val="002D1C3A"/>
    <w:rsid w:val="002D29A4"/>
    <w:rsid w:val="002D3E2B"/>
    <w:rsid w:val="002D4571"/>
    <w:rsid w:val="002D5111"/>
    <w:rsid w:val="002D7E6E"/>
    <w:rsid w:val="002E076C"/>
    <w:rsid w:val="002E161F"/>
    <w:rsid w:val="002E2DE3"/>
    <w:rsid w:val="002E5EA1"/>
    <w:rsid w:val="002E67FA"/>
    <w:rsid w:val="002F02E8"/>
    <w:rsid w:val="002F045F"/>
    <w:rsid w:val="002F04C2"/>
    <w:rsid w:val="002F0EC1"/>
    <w:rsid w:val="002F1220"/>
    <w:rsid w:val="002F1C42"/>
    <w:rsid w:val="002F1C4F"/>
    <w:rsid w:val="002F3B1E"/>
    <w:rsid w:val="002F45D1"/>
    <w:rsid w:val="002F4AE0"/>
    <w:rsid w:val="002F4EEC"/>
    <w:rsid w:val="002F61F2"/>
    <w:rsid w:val="002F7D81"/>
    <w:rsid w:val="003007F1"/>
    <w:rsid w:val="003015DC"/>
    <w:rsid w:val="00303AD8"/>
    <w:rsid w:val="00304C49"/>
    <w:rsid w:val="00305A13"/>
    <w:rsid w:val="003064E8"/>
    <w:rsid w:val="00310CEC"/>
    <w:rsid w:val="00310DE5"/>
    <w:rsid w:val="003115B7"/>
    <w:rsid w:val="003135BE"/>
    <w:rsid w:val="00313C56"/>
    <w:rsid w:val="0031419E"/>
    <w:rsid w:val="00315621"/>
    <w:rsid w:val="0031726F"/>
    <w:rsid w:val="00317767"/>
    <w:rsid w:val="00320711"/>
    <w:rsid w:val="003218FF"/>
    <w:rsid w:val="00321E53"/>
    <w:rsid w:val="0032244C"/>
    <w:rsid w:val="003230B8"/>
    <w:rsid w:val="003258BB"/>
    <w:rsid w:val="003260B1"/>
    <w:rsid w:val="00327C8C"/>
    <w:rsid w:val="00327F16"/>
    <w:rsid w:val="00330057"/>
    <w:rsid w:val="00331242"/>
    <w:rsid w:val="003325CC"/>
    <w:rsid w:val="0033270E"/>
    <w:rsid w:val="00332FD9"/>
    <w:rsid w:val="003346D1"/>
    <w:rsid w:val="003347F8"/>
    <w:rsid w:val="003353E8"/>
    <w:rsid w:val="003356D1"/>
    <w:rsid w:val="00335F1E"/>
    <w:rsid w:val="003364C9"/>
    <w:rsid w:val="003375A7"/>
    <w:rsid w:val="0033794D"/>
    <w:rsid w:val="0033798F"/>
    <w:rsid w:val="00340D05"/>
    <w:rsid w:val="00341B22"/>
    <w:rsid w:val="0034430B"/>
    <w:rsid w:val="00345A94"/>
    <w:rsid w:val="003478BF"/>
    <w:rsid w:val="00347D42"/>
    <w:rsid w:val="00355524"/>
    <w:rsid w:val="00356287"/>
    <w:rsid w:val="00357872"/>
    <w:rsid w:val="00360149"/>
    <w:rsid w:val="003607BE"/>
    <w:rsid w:val="003611A0"/>
    <w:rsid w:val="00363E21"/>
    <w:rsid w:val="003651ED"/>
    <w:rsid w:val="003653B8"/>
    <w:rsid w:val="00370E33"/>
    <w:rsid w:val="0037105C"/>
    <w:rsid w:val="00371BF1"/>
    <w:rsid w:val="00372967"/>
    <w:rsid w:val="0037694B"/>
    <w:rsid w:val="00376A11"/>
    <w:rsid w:val="00376E86"/>
    <w:rsid w:val="00377BE0"/>
    <w:rsid w:val="00380ABA"/>
    <w:rsid w:val="00380AF5"/>
    <w:rsid w:val="00380D4B"/>
    <w:rsid w:val="0038315F"/>
    <w:rsid w:val="00383CCE"/>
    <w:rsid w:val="0038516E"/>
    <w:rsid w:val="003905BB"/>
    <w:rsid w:val="00390E8C"/>
    <w:rsid w:val="0039196D"/>
    <w:rsid w:val="00392E0D"/>
    <w:rsid w:val="00392EC0"/>
    <w:rsid w:val="00394330"/>
    <w:rsid w:val="003954A0"/>
    <w:rsid w:val="00396A10"/>
    <w:rsid w:val="003A044D"/>
    <w:rsid w:val="003A0ED4"/>
    <w:rsid w:val="003A19A2"/>
    <w:rsid w:val="003A1E90"/>
    <w:rsid w:val="003A356D"/>
    <w:rsid w:val="003A4EB4"/>
    <w:rsid w:val="003A7E4D"/>
    <w:rsid w:val="003B2919"/>
    <w:rsid w:val="003B4C3B"/>
    <w:rsid w:val="003B5A23"/>
    <w:rsid w:val="003B7A88"/>
    <w:rsid w:val="003C0DE2"/>
    <w:rsid w:val="003C14D4"/>
    <w:rsid w:val="003C2568"/>
    <w:rsid w:val="003C29D3"/>
    <w:rsid w:val="003C39BF"/>
    <w:rsid w:val="003C464F"/>
    <w:rsid w:val="003C5551"/>
    <w:rsid w:val="003C5AC7"/>
    <w:rsid w:val="003C5D82"/>
    <w:rsid w:val="003C6AAF"/>
    <w:rsid w:val="003C76C2"/>
    <w:rsid w:val="003D0F82"/>
    <w:rsid w:val="003D1685"/>
    <w:rsid w:val="003D2881"/>
    <w:rsid w:val="003D36D8"/>
    <w:rsid w:val="003D5912"/>
    <w:rsid w:val="003E1C18"/>
    <w:rsid w:val="003E2189"/>
    <w:rsid w:val="003E5E8F"/>
    <w:rsid w:val="003E5FCB"/>
    <w:rsid w:val="003E7429"/>
    <w:rsid w:val="003F1418"/>
    <w:rsid w:val="003F3CF1"/>
    <w:rsid w:val="003F727C"/>
    <w:rsid w:val="00400577"/>
    <w:rsid w:val="00400953"/>
    <w:rsid w:val="00401432"/>
    <w:rsid w:val="00402784"/>
    <w:rsid w:val="00403E19"/>
    <w:rsid w:val="00404350"/>
    <w:rsid w:val="00404AE6"/>
    <w:rsid w:val="00405C57"/>
    <w:rsid w:val="00405CC0"/>
    <w:rsid w:val="00407FC5"/>
    <w:rsid w:val="00410E39"/>
    <w:rsid w:val="00411563"/>
    <w:rsid w:val="00412D8F"/>
    <w:rsid w:val="0041423C"/>
    <w:rsid w:val="0041460F"/>
    <w:rsid w:val="004148C6"/>
    <w:rsid w:val="00416FA1"/>
    <w:rsid w:val="0041771B"/>
    <w:rsid w:val="0042104F"/>
    <w:rsid w:val="00421765"/>
    <w:rsid w:val="00421845"/>
    <w:rsid w:val="00421DBE"/>
    <w:rsid w:val="00423D9B"/>
    <w:rsid w:val="00425E9C"/>
    <w:rsid w:val="0042681A"/>
    <w:rsid w:val="00427040"/>
    <w:rsid w:val="00430DD0"/>
    <w:rsid w:val="00432909"/>
    <w:rsid w:val="00433AB4"/>
    <w:rsid w:val="00433EDF"/>
    <w:rsid w:val="00434003"/>
    <w:rsid w:val="0043596F"/>
    <w:rsid w:val="004379CE"/>
    <w:rsid w:val="00440679"/>
    <w:rsid w:val="00441AC9"/>
    <w:rsid w:val="00443A43"/>
    <w:rsid w:val="00443DF0"/>
    <w:rsid w:val="004453E5"/>
    <w:rsid w:val="00445684"/>
    <w:rsid w:val="004456C9"/>
    <w:rsid w:val="00445F4A"/>
    <w:rsid w:val="00446B80"/>
    <w:rsid w:val="00447BAE"/>
    <w:rsid w:val="00451406"/>
    <w:rsid w:val="00451F7B"/>
    <w:rsid w:val="004552BF"/>
    <w:rsid w:val="0045552C"/>
    <w:rsid w:val="00455D64"/>
    <w:rsid w:val="00456796"/>
    <w:rsid w:val="004600D3"/>
    <w:rsid w:val="004614EE"/>
    <w:rsid w:val="004636DA"/>
    <w:rsid w:val="00463D2E"/>
    <w:rsid w:val="00463EAC"/>
    <w:rsid w:val="00463EAF"/>
    <w:rsid w:val="00464339"/>
    <w:rsid w:val="0046491C"/>
    <w:rsid w:val="00464BB5"/>
    <w:rsid w:val="004659FE"/>
    <w:rsid w:val="00474FBB"/>
    <w:rsid w:val="00474FD8"/>
    <w:rsid w:val="00475935"/>
    <w:rsid w:val="0047688B"/>
    <w:rsid w:val="004770C9"/>
    <w:rsid w:val="0048019B"/>
    <w:rsid w:val="00480E9B"/>
    <w:rsid w:val="00481B32"/>
    <w:rsid w:val="00481FB5"/>
    <w:rsid w:val="004865E1"/>
    <w:rsid w:val="0048767A"/>
    <w:rsid w:val="004913DC"/>
    <w:rsid w:val="00491CC8"/>
    <w:rsid w:val="00493C34"/>
    <w:rsid w:val="004973EC"/>
    <w:rsid w:val="004A252E"/>
    <w:rsid w:val="004A46DD"/>
    <w:rsid w:val="004A5F2A"/>
    <w:rsid w:val="004A7342"/>
    <w:rsid w:val="004B00DB"/>
    <w:rsid w:val="004B1571"/>
    <w:rsid w:val="004B1BA4"/>
    <w:rsid w:val="004B316B"/>
    <w:rsid w:val="004B5A67"/>
    <w:rsid w:val="004B6958"/>
    <w:rsid w:val="004C1D7E"/>
    <w:rsid w:val="004C2358"/>
    <w:rsid w:val="004C32AE"/>
    <w:rsid w:val="004C6434"/>
    <w:rsid w:val="004C7986"/>
    <w:rsid w:val="004C79A3"/>
    <w:rsid w:val="004D00CE"/>
    <w:rsid w:val="004D200D"/>
    <w:rsid w:val="004D288B"/>
    <w:rsid w:val="004D628B"/>
    <w:rsid w:val="004D6413"/>
    <w:rsid w:val="004D685A"/>
    <w:rsid w:val="004E06E7"/>
    <w:rsid w:val="004E30E6"/>
    <w:rsid w:val="004E3F60"/>
    <w:rsid w:val="004F144C"/>
    <w:rsid w:val="004F19CB"/>
    <w:rsid w:val="004F1E5C"/>
    <w:rsid w:val="004F474E"/>
    <w:rsid w:val="004F5033"/>
    <w:rsid w:val="004F54E3"/>
    <w:rsid w:val="004F6ACC"/>
    <w:rsid w:val="004F7673"/>
    <w:rsid w:val="005002F7"/>
    <w:rsid w:val="0050094B"/>
    <w:rsid w:val="0050345D"/>
    <w:rsid w:val="005035FE"/>
    <w:rsid w:val="00503A41"/>
    <w:rsid w:val="0050531A"/>
    <w:rsid w:val="00505695"/>
    <w:rsid w:val="00506D1E"/>
    <w:rsid w:val="00507135"/>
    <w:rsid w:val="00507E04"/>
    <w:rsid w:val="00507FC2"/>
    <w:rsid w:val="00511A41"/>
    <w:rsid w:val="005146FF"/>
    <w:rsid w:val="00515261"/>
    <w:rsid w:val="005159E2"/>
    <w:rsid w:val="00515FEA"/>
    <w:rsid w:val="0052000F"/>
    <w:rsid w:val="005204D9"/>
    <w:rsid w:val="005212DF"/>
    <w:rsid w:val="0052179B"/>
    <w:rsid w:val="00521862"/>
    <w:rsid w:val="005229A3"/>
    <w:rsid w:val="00523CFB"/>
    <w:rsid w:val="005249B9"/>
    <w:rsid w:val="00526B09"/>
    <w:rsid w:val="00530125"/>
    <w:rsid w:val="00530CFE"/>
    <w:rsid w:val="00530ED0"/>
    <w:rsid w:val="0053106E"/>
    <w:rsid w:val="005323E3"/>
    <w:rsid w:val="005341E6"/>
    <w:rsid w:val="005346D1"/>
    <w:rsid w:val="00535437"/>
    <w:rsid w:val="0053553F"/>
    <w:rsid w:val="005378D7"/>
    <w:rsid w:val="00540F9D"/>
    <w:rsid w:val="005412FB"/>
    <w:rsid w:val="00542270"/>
    <w:rsid w:val="00542A39"/>
    <w:rsid w:val="00542CC6"/>
    <w:rsid w:val="00542D2E"/>
    <w:rsid w:val="005436B2"/>
    <w:rsid w:val="005459BF"/>
    <w:rsid w:val="00547D24"/>
    <w:rsid w:val="005501E9"/>
    <w:rsid w:val="00550498"/>
    <w:rsid w:val="005504A7"/>
    <w:rsid w:val="0055093B"/>
    <w:rsid w:val="00550EA7"/>
    <w:rsid w:val="005510EA"/>
    <w:rsid w:val="00551E1A"/>
    <w:rsid w:val="00553360"/>
    <w:rsid w:val="00555255"/>
    <w:rsid w:val="005553D4"/>
    <w:rsid w:val="00556440"/>
    <w:rsid w:val="00556786"/>
    <w:rsid w:val="005573C5"/>
    <w:rsid w:val="0056373A"/>
    <w:rsid w:val="00563BBF"/>
    <w:rsid w:val="00565750"/>
    <w:rsid w:val="00566611"/>
    <w:rsid w:val="00572DAB"/>
    <w:rsid w:val="00574E93"/>
    <w:rsid w:val="005750C9"/>
    <w:rsid w:val="00575A6B"/>
    <w:rsid w:val="00575DA9"/>
    <w:rsid w:val="00576E4D"/>
    <w:rsid w:val="00577C29"/>
    <w:rsid w:val="00577EE9"/>
    <w:rsid w:val="00580E1D"/>
    <w:rsid w:val="00583EFB"/>
    <w:rsid w:val="005848F2"/>
    <w:rsid w:val="00584A3F"/>
    <w:rsid w:val="00585F0D"/>
    <w:rsid w:val="0058618F"/>
    <w:rsid w:val="0058652D"/>
    <w:rsid w:val="00586D16"/>
    <w:rsid w:val="0059090E"/>
    <w:rsid w:val="005913D8"/>
    <w:rsid w:val="00592221"/>
    <w:rsid w:val="005937DA"/>
    <w:rsid w:val="00593C29"/>
    <w:rsid w:val="00594A0B"/>
    <w:rsid w:val="00596069"/>
    <w:rsid w:val="00596129"/>
    <w:rsid w:val="005962E5"/>
    <w:rsid w:val="00596ECC"/>
    <w:rsid w:val="0059762E"/>
    <w:rsid w:val="005A29B3"/>
    <w:rsid w:val="005A3DA8"/>
    <w:rsid w:val="005A3DC0"/>
    <w:rsid w:val="005A67B3"/>
    <w:rsid w:val="005B019E"/>
    <w:rsid w:val="005B0485"/>
    <w:rsid w:val="005B2496"/>
    <w:rsid w:val="005B2D42"/>
    <w:rsid w:val="005B3BAC"/>
    <w:rsid w:val="005C13CF"/>
    <w:rsid w:val="005C17BC"/>
    <w:rsid w:val="005C27E9"/>
    <w:rsid w:val="005C3360"/>
    <w:rsid w:val="005C5B09"/>
    <w:rsid w:val="005C6092"/>
    <w:rsid w:val="005C64D5"/>
    <w:rsid w:val="005C6D8F"/>
    <w:rsid w:val="005C78FC"/>
    <w:rsid w:val="005D403F"/>
    <w:rsid w:val="005D56C6"/>
    <w:rsid w:val="005D6467"/>
    <w:rsid w:val="005D6CF7"/>
    <w:rsid w:val="005D6D32"/>
    <w:rsid w:val="005D72B2"/>
    <w:rsid w:val="005E06C8"/>
    <w:rsid w:val="005E06EF"/>
    <w:rsid w:val="005E0ED3"/>
    <w:rsid w:val="005E2412"/>
    <w:rsid w:val="005E3286"/>
    <w:rsid w:val="005E3B92"/>
    <w:rsid w:val="005E4363"/>
    <w:rsid w:val="005E600B"/>
    <w:rsid w:val="005E627B"/>
    <w:rsid w:val="005E6F58"/>
    <w:rsid w:val="005E7291"/>
    <w:rsid w:val="005F314A"/>
    <w:rsid w:val="005F3BA7"/>
    <w:rsid w:val="005F5412"/>
    <w:rsid w:val="005F7419"/>
    <w:rsid w:val="005F7526"/>
    <w:rsid w:val="0060077E"/>
    <w:rsid w:val="006070CB"/>
    <w:rsid w:val="0061068D"/>
    <w:rsid w:val="00613498"/>
    <w:rsid w:val="00614619"/>
    <w:rsid w:val="00614F62"/>
    <w:rsid w:val="00616496"/>
    <w:rsid w:val="006164E4"/>
    <w:rsid w:val="0061684D"/>
    <w:rsid w:val="00617597"/>
    <w:rsid w:val="00617B23"/>
    <w:rsid w:val="0062028F"/>
    <w:rsid w:val="00620D94"/>
    <w:rsid w:val="0062111E"/>
    <w:rsid w:val="00621AA2"/>
    <w:rsid w:val="00622187"/>
    <w:rsid w:val="00622C59"/>
    <w:rsid w:val="006253CD"/>
    <w:rsid w:val="006300BE"/>
    <w:rsid w:val="00632C2C"/>
    <w:rsid w:val="00633079"/>
    <w:rsid w:val="006353FC"/>
    <w:rsid w:val="006414A1"/>
    <w:rsid w:val="00641826"/>
    <w:rsid w:val="00641A0A"/>
    <w:rsid w:val="006478D5"/>
    <w:rsid w:val="0065277F"/>
    <w:rsid w:val="0065351C"/>
    <w:rsid w:val="006537FF"/>
    <w:rsid w:val="006539E3"/>
    <w:rsid w:val="00653D15"/>
    <w:rsid w:val="006543EE"/>
    <w:rsid w:val="006549C8"/>
    <w:rsid w:val="00654B6B"/>
    <w:rsid w:val="00654CFB"/>
    <w:rsid w:val="0065599E"/>
    <w:rsid w:val="00656AE6"/>
    <w:rsid w:val="00657DEB"/>
    <w:rsid w:val="00660018"/>
    <w:rsid w:val="00662A9D"/>
    <w:rsid w:val="0066382E"/>
    <w:rsid w:val="00664722"/>
    <w:rsid w:val="00671ACE"/>
    <w:rsid w:val="00673221"/>
    <w:rsid w:val="00674D99"/>
    <w:rsid w:val="006755B7"/>
    <w:rsid w:val="00676287"/>
    <w:rsid w:val="006762C6"/>
    <w:rsid w:val="00676455"/>
    <w:rsid w:val="0067675E"/>
    <w:rsid w:val="006773EB"/>
    <w:rsid w:val="00677B29"/>
    <w:rsid w:val="00677E49"/>
    <w:rsid w:val="00677F2C"/>
    <w:rsid w:val="00680311"/>
    <w:rsid w:val="00682F27"/>
    <w:rsid w:val="0068317D"/>
    <w:rsid w:val="00683C53"/>
    <w:rsid w:val="0068587E"/>
    <w:rsid w:val="00686879"/>
    <w:rsid w:val="006868C2"/>
    <w:rsid w:val="00686996"/>
    <w:rsid w:val="00687210"/>
    <w:rsid w:val="006877D1"/>
    <w:rsid w:val="00690E26"/>
    <w:rsid w:val="00693AD4"/>
    <w:rsid w:val="00694035"/>
    <w:rsid w:val="00696A05"/>
    <w:rsid w:val="006A0E4F"/>
    <w:rsid w:val="006A1908"/>
    <w:rsid w:val="006A353A"/>
    <w:rsid w:val="006B19CA"/>
    <w:rsid w:val="006B2F9B"/>
    <w:rsid w:val="006B3EB0"/>
    <w:rsid w:val="006B4421"/>
    <w:rsid w:val="006B4B72"/>
    <w:rsid w:val="006B5AC5"/>
    <w:rsid w:val="006B6AC2"/>
    <w:rsid w:val="006B754E"/>
    <w:rsid w:val="006B7680"/>
    <w:rsid w:val="006B773B"/>
    <w:rsid w:val="006B7D97"/>
    <w:rsid w:val="006C3A4F"/>
    <w:rsid w:val="006C5F02"/>
    <w:rsid w:val="006C622E"/>
    <w:rsid w:val="006C6F9E"/>
    <w:rsid w:val="006C7A24"/>
    <w:rsid w:val="006D0C5C"/>
    <w:rsid w:val="006D0D84"/>
    <w:rsid w:val="006D1A4B"/>
    <w:rsid w:val="006D33FE"/>
    <w:rsid w:val="006D70E5"/>
    <w:rsid w:val="006E0C93"/>
    <w:rsid w:val="006E1969"/>
    <w:rsid w:val="006E3954"/>
    <w:rsid w:val="006E4103"/>
    <w:rsid w:val="006E4BE2"/>
    <w:rsid w:val="006E6875"/>
    <w:rsid w:val="006E7E8C"/>
    <w:rsid w:val="006F05A4"/>
    <w:rsid w:val="006F145D"/>
    <w:rsid w:val="006F3AB7"/>
    <w:rsid w:val="006F581D"/>
    <w:rsid w:val="007000A4"/>
    <w:rsid w:val="007000E0"/>
    <w:rsid w:val="007013C5"/>
    <w:rsid w:val="00702B25"/>
    <w:rsid w:val="007047DC"/>
    <w:rsid w:val="0071108F"/>
    <w:rsid w:val="007118D2"/>
    <w:rsid w:val="007125B9"/>
    <w:rsid w:val="00712FA1"/>
    <w:rsid w:val="0071405B"/>
    <w:rsid w:val="00714DE0"/>
    <w:rsid w:val="0071552E"/>
    <w:rsid w:val="007160DD"/>
    <w:rsid w:val="00716345"/>
    <w:rsid w:val="00716F78"/>
    <w:rsid w:val="007171D4"/>
    <w:rsid w:val="00717E91"/>
    <w:rsid w:val="007209F6"/>
    <w:rsid w:val="0072289E"/>
    <w:rsid w:val="00723CF0"/>
    <w:rsid w:val="00727204"/>
    <w:rsid w:val="0073008A"/>
    <w:rsid w:val="007306E2"/>
    <w:rsid w:val="007314C6"/>
    <w:rsid w:val="00732477"/>
    <w:rsid w:val="00732818"/>
    <w:rsid w:val="00732839"/>
    <w:rsid w:val="00732B01"/>
    <w:rsid w:val="00732B66"/>
    <w:rsid w:val="00732D87"/>
    <w:rsid w:val="007355C2"/>
    <w:rsid w:val="00735A67"/>
    <w:rsid w:val="007370E6"/>
    <w:rsid w:val="00737C68"/>
    <w:rsid w:val="007428B1"/>
    <w:rsid w:val="00742E2C"/>
    <w:rsid w:val="00743218"/>
    <w:rsid w:val="00743C87"/>
    <w:rsid w:val="00744D23"/>
    <w:rsid w:val="0074602D"/>
    <w:rsid w:val="00747404"/>
    <w:rsid w:val="00750132"/>
    <w:rsid w:val="00751A78"/>
    <w:rsid w:val="00754A1D"/>
    <w:rsid w:val="00757F87"/>
    <w:rsid w:val="00760168"/>
    <w:rsid w:val="0076054F"/>
    <w:rsid w:val="00761CB9"/>
    <w:rsid w:val="0076309E"/>
    <w:rsid w:val="00764A0A"/>
    <w:rsid w:val="0077082E"/>
    <w:rsid w:val="00773949"/>
    <w:rsid w:val="007751C4"/>
    <w:rsid w:val="007752B3"/>
    <w:rsid w:val="00775651"/>
    <w:rsid w:val="007808AB"/>
    <w:rsid w:val="00783360"/>
    <w:rsid w:val="00784C33"/>
    <w:rsid w:val="00786238"/>
    <w:rsid w:val="00790577"/>
    <w:rsid w:val="007915A0"/>
    <w:rsid w:val="0079308D"/>
    <w:rsid w:val="007936A0"/>
    <w:rsid w:val="0079497F"/>
    <w:rsid w:val="007953FB"/>
    <w:rsid w:val="00796399"/>
    <w:rsid w:val="007966B6"/>
    <w:rsid w:val="007A1143"/>
    <w:rsid w:val="007A2A94"/>
    <w:rsid w:val="007A2FA2"/>
    <w:rsid w:val="007A4183"/>
    <w:rsid w:val="007A4D43"/>
    <w:rsid w:val="007A50CB"/>
    <w:rsid w:val="007A5564"/>
    <w:rsid w:val="007A6474"/>
    <w:rsid w:val="007B028B"/>
    <w:rsid w:val="007B0C89"/>
    <w:rsid w:val="007B1A66"/>
    <w:rsid w:val="007B1F3B"/>
    <w:rsid w:val="007B501A"/>
    <w:rsid w:val="007C210F"/>
    <w:rsid w:val="007C2C25"/>
    <w:rsid w:val="007C41CB"/>
    <w:rsid w:val="007C494A"/>
    <w:rsid w:val="007C6292"/>
    <w:rsid w:val="007D0115"/>
    <w:rsid w:val="007D262B"/>
    <w:rsid w:val="007D4D57"/>
    <w:rsid w:val="007D75A5"/>
    <w:rsid w:val="007D78AD"/>
    <w:rsid w:val="007E2029"/>
    <w:rsid w:val="007E32C8"/>
    <w:rsid w:val="007E46FC"/>
    <w:rsid w:val="007E47DF"/>
    <w:rsid w:val="007E4E7E"/>
    <w:rsid w:val="007F38BC"/>
    <w:rsid w:val="007F57BC"/>
    <w:rsid w:val="007F5FFC"/>
    <w:rsid w:val="007F61F1"/>
    <w:rsid w:val="007F6786"/>
    <w:rsid w:val="007F7692"/>
    <w:rsid w:val="007F76E0"/>
    <w:rsid w:val="00800A6B"/>
    <w:rsid w:val="008026EB"/>
    <w:rsid w:val="0080305C"/>
    <w:rsid w:val="008034D8"/>
    <w:rsid w:val="008046FD"/>
    <w:rsid w:val="00804835"/>
    <w:rsid w:val="008058E2"/>
    <w:rsid w:val="00807F97"/>
    <w:rsid w:val="0081043C"/>
    <w:rsid w:val="008105F1"/>
    <w:rsid w:val="0081099E"/>
    <w:rsid w:val="00812B18"/>
    <w:rsid w:val="008137FC"/>
    <w:rsid w:val="00815800"/>
    <w:rsid w:val="00816130"/>
    <w:rsid w:val="008171B5"/>
    <w:rsid w:val="00821864"/>
    <w:rsid w:val="008223F6"/>
    <w:rsid w:val="00822ECD"/>
    <w:rsid w:val="00823971"/>
    <w:rsid w:val="00824F0F"/>
    <w:rsid w:val="00825103"/>
    <w:rsid w:val="00825D35"/>
    <w:rsid w:val="008304AA"/>
    <w:rsid w:val="00832B59"/>
    <w:rsid w:val="00832EF6"/>
    <w:rsid w:val="00833FF1"/>
    <w:rsid w:val="00834B71"/>
    <w:rsid w:val="008362D9"/>
    <w:rsid w:val="0083768A"/>
    <w:rsid w:val="00843279"/>
    <w:rsid w:val="008444E8"/>
    <w:rsid w:val="00844F7E"/>
    <w:rsid w:val="0084620A"/>
    <w:rsid w:val="00846582"/>
    <w:rsid w:val="00851211"/>
    <w:rsid w:val="008519D5"/>
    <w:rsid w:val="0085259F"/>
    <w:rsid w:val="00852C7F"/>
    <w:rsid w:val="00853103"/>
    <w:rsid w:val="00853F71"/>
    <w:rsid w:val="00855499"/>
    <w:rsid w:val="008577F9"/>
    <w:rsid w:val="00857B7F"/>
    <w:rsid w:val="00860807"/>
    <w:rsid w:val="0086116A"/>
    <w:rsid w:val="0086146E"/>
    <w:rsid w:val="00863BD0"/>
    <w:rsid w:val="00865CBB"/>
    <w:rsid w:val="00865E50"/>
    <w:rsid w:val="00865F02"/>
    <w:rsid w:val="00870386"/>
    <w:rsid w:val="008737D4"/>
    <w:rsid w:val="00876187"/>
    <w:rsid w:val="0087622B"/>
    <w:rsid w:val="00880693"/>
    <w:rsid w:val="00881C99"/>
    <w:rsid w:val="00890286"/>
    <w:rsid w:val="00890757"/>
    <w:rsid w:val="00890DD7"/>
    <w:rsid w:val="0089157D"/>
    <w:rsid w:val="00891B32"/>
    <w:rsid w:val="0089216C"/>
    <w:rsid w:val="0089238E"/>
    <w:rsid w:val="00892570"/>
    <w:rsid w:val="00892D91"/>
    <w:rsid w:val="00894079"/>
    <w:rsid w:val="0089445D"/>
    <w:rsid w:val="00894AD5"/>
    <w:rsid w:val="00894D27"/>
    <w:rsid w:val="00897969"/>
    <w:rsid w:val="00897AC2"/>
    <w:rsid w:val="008A0293"/>
    <w:rsid w:val="008A1871"/>
    <w:rsid w:val="008A2512"/>
    <w:rsid w:val="008A307A"/>
    <w:rsid w:val="008A32F8"/>
    <w:rsid w:val="008A6B22"/>
    <w:rsid w:val="008A7A94"/>
    <w:rsid w:val="008B1D73"/>
    <w:rsid w:val="008B23FE"/>
    <w:rsid w:val="008B3B55"/>
    <w:rsid w:val="008B4C3B"/>
    <w:rsid w:val="008B5394"/>
    <w:rsid w:val="008B570A"/>
    <w:rsid w:val="008B74A8"/>
    <w:rsid w:val="008C1EA9"/>
    <w:rsid w:val="008C20A9"/>
    <w:rsid w:val="008C2DDC"/>
    <w:rsid w:val="008C4B15"/>
    <w:rsid w:val="008C687B"/>
    <w:rsid w:val="008C6B0C"/>
    <w:rsid w:val="008C737E"/>
    <w:rsid w:val="008C79C4"/>
    <w:rsid w:val="008C7E59"/>
    <w:rsid w:val="008D0687"/>
    <w:rsid w:val="008D1A86"/>
    <w:rsid w:val="008D1C0A"/>
    <w:rsid w:val="008D2E12"/>
    <w:rsid w:val="008D5CC0"/>
    <w:rsid w:val="008D707A"/>
    <w:rsid w:val="008E10C8"/>
    <w:rsid w:val="008E26A4"/>
    <w:rsid w:val="008E4613"/>
    <w:rsid w:val="008E4A61"/>
    <w:rsid w:val="008E5039"/>
    <w:rsid w:val="008F01D9"/>
    <w:rsid w:val="008F2A40"/>
    <w:rsid w:val="008F3F36"/>
    <w:rsid w:val="008F452A"/>
    <w:rsid w:val="008F5B46"/>
    <w:rsid w:val="008F5D48"/>
    <w:rsid w:val="008F60E8"/>
    <w:rsid w:val="008F618A"/>
    <w:rsid w:val="008F675C"/>
    <w:rsid w:val="008F786E"/>
    <w:rsid w:val="008F7BB1"/>
    <w:rsid w:val="009003B9"/>
    <w:rsid w:val="0090104B"/>
    <w:rsid w:val="00901F1D"/>
    <w:rsid w:val="0090210E"/>
    <w:rsid w:val="0090215B"/>
    <w:rsid w:val="009029B4"/>
    <w:rsid w:val="00902CB3"/>
    <w:rsid w:val="009043CC"/>
    <w:rsid w:val="00906D82"/>
    <w:rsid w:val="00907169"/>
    <w:rsid w:val="009105D1"/>
    <w:rsid w:val="00912393"/>
    <w:rsid w:val="00912BF6"/>
    <w:rsid w:val="00915306"/>
    <w:rsid w:val="00915ABE"/>
    <w:rsid w:val="00915B87"/>
    <w:rsid w:val="00916E00"/>
    <w:rsid w:val="00917ECB"/>
    <w:rsid w:val="00923528"/>
    <w:rsid w:val="00924094"/>
    <w:rsid w:val="00924CD4"/>
    <w:rsid w:val="00924CE4"/>
    <w:rsid w:val="0092567E"/>
    <w:rsid w:val="00927624"/>
    <w:rsid w:val="00930689"/>
    <w:rsid w:val="00930BD2"/>
    <w:rsid w:val="00931608"/>
    <w:rsid w:val="0093304E"/>
    <w:rsid w:val="00933955"/>
    <w:rsid w:val="0093406B"/>
    <w:rsid w:val="00934CDD"/>
    <w:rsid w:val="00935342"/>
    <w:rsid w:val="00936682"/>
    <w:rsid w:val="00936DAD"/>
    <w:rsid w:val="0093764E"/>
    <w:rsid w:val="00940578"/>
    <w:rsid w:val="00942746"/>
    <w:rsid w:val="00946BC7"/>
    <w:rsid w:val="00947FDF"/>
    <w:rsid w:val="00950E5A"/>
    <w:rsid w:val="00952EA7"/>
    <w:rsid w:val="00953CAC"/>
    <w:rsid w:val="00954244"/>
    <w:rsid w:val="00957235"/>
    <w:rsid w:val="009609F3"/>
    <w:rsid w:val="009617EB"/>
    <w:rsid w:val="00961920"/>
    <w:rsid w:val="00962567"/>
    <w:rsid w:val="00962B76"/>
    <w:rsid w:val="0096356E"/>
    <w:rsid w:val="00963DD0"/>
    <w:rsid w:val="009650B7"/>
    <w:rsid w:val="00965670"/>
    <w:rsid w:val="00966290"/>
    <w:rsid w:val="00967ADA"/>
    <w:rsid w:val="00967BD4"/>
    <w:rsid w:val="00970148"/>
    <w:rsid w:val="009709A4"/>
    <w:rsid w:val="0097182F"/>
    <w:rsid w:val="00971892"/>
    <w:rsid w:val="00972262"/>
    <w:rsid w:val="00973153"/>
    <w:rsid w:val="0097325D"/>
    <w:rsid w:val="00974565"/>
    <w:rsid w:val="0097475C"/>
    <w:rsid w:val="00976D04"/>
    <w:rsid w:val="009774A9"/>
    <w:rsid w:val="00980714"/>
    <w:rsid w:val="00980D4E"/>
    <w:rsid w:val="00982B89"/>
    <w:rsid w:val="00983F92"/>
    <w:rsid w:val="0098409A"/>
    <w:rsid w:val="00985A90"/>
    <w:rsid w:val="00987DBD"/>
    <w:rsid w:val="00990A53"/>
    <w:rsid w:val="00992CC3"/>
    <w:rsid w:val="00993018"/>
    <w:rsid w:val="00993DED"/>
    <w:rsid w:val="00994DD3"/>
    <w:rsid w:val="00994FD7"/>
    <w:rsid w:val="00996F1C"/>
    <w:rsid w:val="0099741C"/>
    <w:rsid w:val="009A063A"/>
    <w:rsid w:val="009A07A9"/>
    <w:rsid w:val="009A3027"/>
    <w:rsid w:val="009A6218"/>
    <w:rsid w:val="009B104F"/>
    <w:rsid w:val="009C045D"/>
    <w:rsid w:val="009C2295"/>
    <w:rsid w:val="009C2D15"/>
    <w:rsid w:val="009C2E5E"/>
    <w:rsid w:val="009C346A"/>
    <w:rsid w:val="009C378C"/>
    <w:rsid w:val="009D19BC"/>
    <w:rsid w:val="009D1FF5"/>
    <w:rsid w:val="009D6F60"/>
    <w:rsid w:val="009E0023"/>
    <w:rsid w:val="009E2620"/>
    <w:rsid w:val="009E334E"/>
    <w:rsid w:val="009E511C"/>
    <w:rsid w:val="009E5379"/>
    <w:rsid w:val="009E538F"/>
    <w:rsid w:val="009E6FD3"/>
    <w:rsid w:val="009E7883"/>
    <w:rsid w:val="009F03B4"/>
    <w:rsid w:val="009F321B"/>
    <w:rsid w:val="009F39F1"/>
    <w:rsid w:val="009F628E"/>
    <w:rsid w:val="009F7FCB"/>
    <w:rsid w:val="00A01806"/>
    <w:rsid w:val="00A01D6F"/>
    <w:rsid w:val="00A01DDF"/>
    <w:rsid w:val="00A02344"/>
    <w:rsid w:val="00A026C8"/>
    <w:rsid w:val="00A03347"/>
    <w:rsid w:val="00A03B84"/>
    <w:rsid w:val="00A05347"/>
    <w:rsid w:val="00A074F9"/>
    <w:rsid w:val="00A12876"/>
    <w:rsid w:val="00A13212"/>
    <w:rsid w:val="00A143D8"/>
    <w:rsid w:val="00A15462"/>
    <w:rsid w:val="00A15B53"/>
    <w:rsid w:val="00A16C3C"/>
    <w:rsid w:val="00A21CE4"/>
    <w:rsid w:val="00A22C41"/>
    <w:rsid w:val="00A22D9E"/>
    <w:rsid w:val="00A24DBF"/>
    <w:rsid w:val="00A24F13"/>
    <w:rsid w:val="00A25AB2"/>
    <w:rsid w:val="00A2733E"/>
    <w:rsid w:val="00A275DF"/>
    <w:rsid w:val="00A27A9C"/>
    <w:rsid w:val="00A27E1D"/>
    <w:rsid w:val="00A3107B"/>
    <w:rsid w:val="00A328CC"/>
    <w:rsid w:val="00A32C60"/>
    <w:rsid w:val="00A35964"/>
    <w:rsid w:val="00A35B97"/>
    <w:rsid w:val="00A36EC0"/>
    <w:rsid w:val="00A40E00"/>
    <w:rsid w:val="00A428DF"/>
    <w:rsid w:val="00A4356F"/>
    <w:rsid w:val="00A4543F"/>
    <w:rsid w:val="00A47FB9"/>
    <w:rsid w:val="00A504BC"/>
    <w:rsid w:val="00A50CCA"/>
    <w:rsid w:val="00A53406"/>
    <w:rsid w:val="00A53F5B"/>
    <w:rsid w:val="00A559FF"/>
    <w:rsid w:val="00A561D8"/>
    <w:rsid w:val="00A56629"/>
    <w:rsid w:val="00A57D32"/>
    <w:rsid w:val="00A627B2"/>
    <w:rsid w:val="00A6408D"/>
    <w:rsid w:val="00A65BA9"/>
    <w:rsid w:val="00A67E6F"/>
    <w:rsid w:val="00A70F14"/>
    <w:rsid w:val="00A7185C"/>
    <w:rsid w:val="00A71982"/>
    <w:rsid w:val="00A71E88"/>
    <w:rsid w:val="00A7248C"/>
    <w:rsid w:val="00A72D33"/>
    <w:rsid w:val="00A72D4B"/>
    <w:rsid w:val="00A75543"/>
    <w:rsid w:val="00A75E78"/>
    <w:rsid w:val="00A802F5"/>
    <w:rsid w:val="00A8075B"/>
    <w:rsid w:val="00A809C6"/>
    <w:rsid w:val="00A81214"/>
    <w:rsid w:val="00A825EB"/>
    <w:rsid w:val="00A8346C"/>
    <w:rsid w:val="00A84777"/>
    <w:rsid w:val="00A85495"/>
    <w:rsid w:val="00A856AB"/>
    <w:rsid w:val="00A866BE"/>
    <w:rsid w:val="00A86E8A"/>
    <w:rsid w:val="00A87172"/>
    <w:rsid w:val="00A90BE7"/>
    <w:rsid w:val="00A942F2"/>
    <w:rsid w:val="00A94FF1"/>
    <w:rsid w:val="00AA2DFB"/>
    <w:rsid w:val="00AA36C8"/>
    <w:rsid w:val="00AA690C"/>
    <w:rsid w:val="00AA6A16"/>
    <w:rsid w:val="00AA6E2C"/>
    <w:rsid w:val="00AB0C2A"/>
    <w:rsid w:val="00AB19A0"/>
    <w:rsid w:val="00AB3B7C"/>
    <w:rsid w:val="00AB4C26"/>
    <w:rsid w:val="00AC24D7"/>
    <w:rsid w:val="00AC25B2"/>
    <w:rsid w:val="00AC7ECC"/>
    <w:rsid w:val="00AD0544"/>
    <w:rsid w:val="00AD1348"/>
    <w:rsid w:val="00AD1C87"/>
    <w:rsid w:val="00AD30CC"/>
    <w:rsid w:val="00AD36FD"/>
    <w:rsid w:val="00AD3DBB"/>
    <w:rsid w:val="00AD43B6"/>
    <w:rsid w:val="00AD701D"/>
    <w:rsid w:val="00AE0509"/>
    <w:rsid w:val="00AE060D"/>
    <w:rsid w:val="00AE0919"/>
    <w:rsid w:val="00AE319A"/>
    <w:rsid w:val="00AE37F4"/>
    <w:rsid w:val="00AE505A"/>
    <w:rsid w:val="00AE55EC"/>
    <w:rsid w:val="00AE5BC2"/>
    <w:rsid w:val="00AE5E5B"/>
    <w:rsid w:val="00AE6630"/>
    <w:rsid w:val="00AF08D9"/>
    <w:rsid w:val="00AF0F47"/>
    <w:rsid w:val="00AF1B0C"/>
    <w:rsid w:val="00AF1E0E"/>
    <w:rsid w:val="00AF2E2D"/>
    <w:rsid w:val="00AF3D71"/>
    <w:rsid w:val="00AF74BF"/>
    <w:rsid w:val="00B00EFA"/>
    <w:rsid w:val="00B01DC8"/>
    <w:rsid w:val="00B0225A"/>
    <w:rsid w:val="00B051EE"/>
    <w:rsid w:val="00B05CD8"/>
    <w:rsid w:val="00B07E97"/>
    <w:rsid w:val="00B07EBF"/>
    <w:rsid w:val="00B11CD7"/>
    <w:rsid w:val="00B14F97"/>
    <w:rsid w:val="00B170C3"/>
    <w:rsid w:val="00B204ED"/>
    <w:rsid w:val="00B208D0"/>
    <w:rsid w:val="00B20933"/>
    <w:rsid w:val="00B24721"/>
    <w:rsid w:val="00B26544"/>
    <w:rsid w:val="00B30A32"/>
    <w:rsid w:val="00B3140A"/>
    <w:rsid w:val="00B34E9C"/>
    <w:rsid w:val="00B3515F"/>
    <w:rsid w:val="00B35956"/>
    <w:rsid w:val="00B3612A"/>
    <w:rsid w:val="00B36857"/>
    <w:rsid w:val="00B36902"/>
    <w:rsid w:val="00B44CB4"/>
    <w:rsid w:val="00B44E23"/>
    <w:rsid w:val="00B4555B"/>
    <w:rsid w:val="00B46558"/>
    <w:rsid w:val="00B46806"/>
    <w:rsid w:val="00B47B8B"/>
    <w:rsid w:val="00B507BE"/>
    <w:rsid w:val="00B5134E"/>
    <w:rsid w:val="00B51E81"/>
    <w:rsid w:val="00B52F84"/>
    <w:rsid w:val="00B53233"/>
    <w:rsid w:val="00B554EE"/>
    <w:rsid w:val="00B55B23"/>
    <w:rsid w:val="00B5639D"/>
    <w:rsid w:val="00B563C4"/>
    <w:rsid w:val="00B62639"/>
    <w:rsid w:val="00B628E8"/>
    <w:rsid w:val="00B662E2"/>
    <w:rsid w:val="00B66797"/>
    <w:rsid w:val="00B7205E"/>
    <w:rsid w:val="00B75350"/>
    <w:rsid w:val="00B76193"/>
    <w:rsid w:val="00B7790E"/>
    <w:rsid w:val="00B81031"/>
    <w:rsid w:val="00B811AA"/>
    <w:rsid w:val="00B811C1"/>
    <w:rsid w:val="00B81B0D"/>
    <w:rsid w:val="00B82CE4"/>
    <w:rsid w:val="00B8477B"/>
    <w:rsid w:val="00B8530B"/>
    <w:rsid w:val="00B908B3"/>
    <w:rsid w:val="00B90980"/>
    <w:rsid w:val="00B90A61"/>
    <w:rsid w:val="00B92723"/>
    <w:rsid w:val="00B9531F"/>
    <w:rsid w:val="00B95DB2"/>
    <w:rsid w:val="00B95EA6"/>
    <w:rsid w:val="00B96E8F"/>
    <w:rsid w:val="00B9727D"/>
    <w:rsid w:val="00B973F9"/>
    <w:rsid w:val="00BA0B05"/>
    <w:rsid w:val="00BA12C3"/>
    <w:rsid w:val="00BA17C6"/>
    <w:rsid w:val="00BA1A64"/>
    <w:rsid w:val="00BA2922"/>
    <w:rsid w:val="00BA3FC0"/>
    <w:rsid w:val="00BA4FC6"/>
    <w:rsid w:val="00BA5C0E"/>
    <w:rsid w:val="00BB1BF1"/>
    <w:rsid w:val="00BB1E32"/>
    <w:rsid w:val="00BB3A26"/>
    <w:rsid w:val="00BB5260"/>
    <w:rsid w:val="00BB5D24"/>
    <w:rsid w:val="00BB5EDD"/>
    <w:rsid w:val="00BB63F9"/>
    <w:rsid w:val="00BC1A35"/>
    <w:rsid w:val="00BC1A36"/>
    <w:rsid w:val="00BC3590"/>
    <w:rsid w:val="00BC3949"/>
    <w:rsid w:val="00BC4051"/>
    <w:rsid w:val="00BD479F"/>
    <w:rsid w:val="00BD4CE9"/>
    <w:rsid w:val="00BD588D"/>
    <w:rsid w:val="00BD631E"/>
    <w:rsid w:val="00BE0B3A"/>
    <w:rsid w:val="00BE1076"/>
    <w:rsid w:val="00BE56CD"/>
    <w:rsid w:val="00BE609B"/>
    <w:rsid w:val="00BE69E8"/>
    <w:rsid w:val="00BE6C0A"/>
    <w:rsid w:val="00BE7F55"/>
    <w:rsid w:val="00BF1321"/>
    <w:rsid w:val="00BF1372"/>
    <w:rsid w:val="00BF540C"/>
    <w:rsid w:val="00BF7168"/>
    <w:rsid w:val="00C010C4"/>
    <w:rsid w:val="00C02D25"/>
    <w:rsid w:val="00C04204"/>
    <w:rsid w:val="00C04C71"/>
    <w:rsid w:val="00C05619"/>
    <w:rsid w:val="00C06939"/>
    <w:rsid w:val="00C06BDC"/>
    <w:rsid w:val="00C06E20"/>
    <w:rsid w:val="00C1032D"/>
    <w:rsid w:val="00C10B28"/>
    <w:rsid w:val="00C10D35"/>
    <w:rsid w:val="00C11591"/>
    <w:rsid w:val="00C11F7B"/>
    <w:rsid w:val="00C12FF0"/>
    <w:rsid w:val="00C13199"/>
    <w:rsid w:val="00C140A3"/>
    <w:rsid w:val="00C14C1A"/>
    <w:rsid w:val="00C14E08"/>
    <w:rsid w:val="00C15A8E"/>
    <w:rsid w:val="00C15F17"/>
    <w:rsid w:val="00C17359"/>
    <w:rsid w:val="00C17B63"/>
    <w:rsid w:val="00C17CB4"/>
    <w:rsid w:val="00C219FD"/>
    <w:rsid w:val="00C2429A"/>
    <w:rsid w:val="00C253B9"/>
    <w:rsid w:val="00C258C3"/>
    <w:rsid w:val="00C26045"/>
    <w:rsid w:val="00C26712"/>
    <w:rsid w:val="00C27896"/>
    <w:rsid w:val="00C33D11"/>
    <w:rsid w:val="00C364B6"/>
    <w:rsid w:val="00C37AD6"/>
    <w:rsid w:val="00C403F1"/>
    <w:rsid w:val="00C40F42"/>
    <w:rsid w:val="00C4352C"/>
    <w:rsid w:val="00C4717F"/>
    <w:rsid w:val="00C525B7"/>
    <w:rsid w:val="00C52A82"/>
    <w:rsid w:val="00C569EE"/>
    <w:rsid w:val="00C574C1"/>
    <w:rsid w:val="00C6185E"/>
    <w:rsid w:val="00C627CB"/>
    <w:rsid w:val="00C628F6"/>
    <w:rsid w:val="00C63720"/>
    <w:rsid w:val="00C638EF"/>
    <w:rsid w:val="00C65D2C"/>
    <w:rsid w:val="00C6628D"/>
    <w:rsid w:val="00C6631B"/>
    <w:rsid w:val="00C67A93"/>
    <w:rsid w:val="00C707C9"/>
    <w:rsid w:val="00C70E91"/>
    <w:rsid w:val="00C712F2"/>
    <w:rsid w:val="00C71E5B"/>
    <w:rsid w:val="00C72F1E"/>
    <w:rsid w:val="00C732C3"/>
    <w:rsid w:val="00C75184"/>
    <w:rsid w:val="00C7590F"/>
    <w:rsid w:val="00C869FA"/>
    <w:rsid w:val="00C874E3"/>
    <w:rsid w:val="00C8778B"/>
    <w:rsid w:val="00C87892"/>
    <w:rsid w:val="00C90450"/>
    <w:rsid w:val="00C90A4C"/>
    <w:rsid w:val="00C92829"/>
    <w:rsid w:val="00C92FF0"/>
    <w:rsid w:val="00C9396E"/>
    <w:rsid w:val="00C95E8B"/>
    <w:rsid w:val="00C97645"/>
    <w:rsid w:val="00CA04F9"/>
    <w:rsid w:val="00CA0824"/>
    <w:rsid w:val="00CA0FF9"/>
    <w:rsid w:val="00CA70FF"/>
    <w:rsid w:val="00CB09F9"/>
    <w:rsid w:val="00CB122B"/>
    <w:rsid w:val="00CB20AA"/>
    <w:rsid w:val="00CB2318"/>
    <w:rsid w:val="00CB2651"/>
    <w:rsid w:val="00CB33AE"/>
    <w:rsid w:val="00CB3B52"/>
    <w:rsid w:val="00CB4744"/>
    <w:rsid w:val="00CB4745"/>
    <w:rsid w:val="00CB5D17"/>
    <w:rsid w:val="00CB62A0"/>
    <w:rsid w:val="00CB65B8"/>
    <w:rsid w:val="00CB6F4E"/>
    <w:rsid w:val="00CB771A"/>
    <w:rsid w:val="00CB79BF"/>
    <w:rsid w:val="00CB7EF7"/>
    <w:rsid w:val="00CC262D"/>
    <w:rsid w:val="00CC3F58"/>
    <w:rsid w:val="00CC3FE1"/>
    <w:rsid w:val="00CC44F9"/>
    <w:rsid w:val="00CC6CCA"/>
    <w:rsid w:val="00CC7A07"/>
    <w:rsid w:val="00CD05FA"/>
    <w:rsid w:val="00CD1ED2"/>
    <w:rsid w:val="00CD37CB"/>
    <w:rsid w:val="00CD44DF"/>
    <w:rsid w:val="00CD5679"/>
    <w:rsid w:val="00CD65CF"/>
    <w:rsid w:val="00CD69AF"/>
    <w:rsid w:val="00CD78CB"/>
    <w:rsid w:val="00CE0950"/>
    <w:rsid w:val="00CE18EE"/>
    <w:rsid w:val="00CE3179"/>
    <w:rsid w:val="00CE4622"/>
    <w:rsid w:val="00CE4786"/>
    <w:rsid w:val="00CE67DA"/>
    <w:rsid w:val="00CE6E6A"/>
    <w:rsid w:val="00CE76FC"/>
    <w:rsid w:val="00CE7C3E"/>
    <w:rsid w:val="00CF1008"/>
    <w:rsid w:val="00CF1A8C"/>
    <w:rsid w:val="00CF1C8B"/>
    <w:rsid w:val="00CF26E0"/>
    <w:rsid w:val="00CF35D9"/>
    <w:rsid w:val="00CF3E41"/>
    <w:rsid w:val="00CF43D4"/>
    <w:rsid w:val="00CF65C5"/>
    <w:rsid w:val="00D0090C"/>
    <w:rsid w:val="00D00ED2"/>
    <w:rsid w:val="00D012E8"/>
    <w:rsid w:val="00D0294E"/>
    <w:rsid w:val="00D03486"/>
    <w:rsid w:val="00D0429C"/>
    <w:rsid w:val="00D04EAA"/>
    <w:rsid w:val="00D05E53"/>
    <w:rsid w:val="00D1033E"/>
    <w:rsid w:val="00D11B20"/>
    <w:rsid w:val="00D152CD"/>
    <w:rsid w:val="00D1554F"/>
    <w:rsid w:val="00D15FA5"/>
    <w:rsid w:val="00D2129F"/>
    <w:rsid w:val="00D22695"/>
    <w:rsid w:val="00D23A7D"/>
    <w:rsid w:val="00D23C17"/>
    <w:rsid w:val="00D24AB3"/>
    <w:rsid w:val="00D24C07"/>
    <w:rsid w:val="00D26A06"/>
    <w:rsid w:val="00D301A1"/>
    <w:rsid w:val="00D30DD2"/>
    <w:rsid w:val="00D318E6"/>
    <w:rsid w:val="00D31ED6"/>
    <w:rsid w:val="00D320D2"/>
    <w:rsid w:val="00D326B1"/>
    <w:rsid w:val="00D33F35"/>
    <w:rsid w:val="00D367F8"/>
    <w:rsid w:val="00D373D3"/>
    <w:rsid w:val="00D41256"/>
    <w:rsid w:val="00D41580"/>
    <w:rsid w:val="00D41D04"/>
    <w:rsid w:val="00D4686A"/>
    <w:rsid w:val="00D478DD"/>
    <w:rsid w:val="00D50A33"/>
    <w:rsid w:val="00D51B71"/>
    <w:rsid w:val="00D52965"/>
    <w:rsid w:val="00D5490E"/>
    <w:rsid w:val="00D565EB"/>
    <w:rsid w:val="00D56EBD"/>
    <w:rsid w:val="00D60638"/>
    <w:rsid w:val="00D65AC5"/>
    <w:rsid w:val="00D6612B"/>
    <w:rsid w:val="00D70EA1"/>
    <w:rsid w:val="00D71B66"/>
    <w:rsid w:val="00D71BD7"/>
    <w:rsid w:val="00D71D78"/>
    <w:rsid w:val="00D72053"/>
    <w:rsid w:val="00D73392"/>
    <w:rsid w:val="00D73A9B"/>
    <w:rsid w:val="00D7415B"/>
    <w:rsid w:val="00D74F49"/>
    <w:rsid w:val="00D77AE4"/>
    <w:rsid w:val="00D77F38"/>
    <w:rsid w:val="00D83B06"/>
    <w:rsid w:val="00D84CDB"/>
    <w:rsid w:val="00D85339"/>
    <w:rsid w:val="00D867D0"/>
    <w:rsid w:val="00D9149B"/>
    <w:rsid w:val="00D9156B"/>
    <w:rsid w:val="00D91625"/>
    <w:rsid w:val="00D92F19"/>
    <w:rsid w:val="00D94B25"/>
    <w:rsid w:val="00D96182"/>
    <w:rsid w:val="00D97132"/>
    <w:rsid w:val="00D97BC6"/>
    <w:rsid w:val="00D97E20"/>
    <w:rsid w:val="00DA2EF6"/>
    <w:rsid w:val="00DA3506"/>
    <w:rsid w:val="00DA3A14"/>
    <w:rsid w:val="00DA49C3"/>
    <w:rsid w:val="00DA51CE"/>
    <w:rsid w:val="00DA564F"/>
    <w:rsid w:val="00DA5778"/>
    <w:rsid w:val="00DA5F9F"/>
    <w:rsid w:val="00DA7063"/>
    <w:rsid w:val="00DA71CE"/>
    <w:rsid w:val="00DB14C4"/>
    <w:rsid w:val="00DB1E14"/>
    <w:rsid w:val="00DB377D"/>
    <w:rsid w:val="00DB39A5"/>
    <w:rsid w:val="00DB46BC"/>
    <w:rsid w:val="00DC0796"/>
    <w:rsid w:val="00DC09EA"/>
    <w:rsid w:val="00DC0DA3"/>
    <w:rsid w:val="00DC1BAD"/>
    <w:rsid w:val="00DC2057"/>
    <w:rsid w:val="00DC237F"/>
    <w:rsid w:val="00DC43B1"/>
    <w:rsid w:val="00DC4D42"/>
    <w:rsid w:val="00DD097D"/>
    <w:rsid w:val="00DD2E87"/>
    <w:rsid w:val="00DD3AA2"/>
    <w:rsid w:val="00DD628E"/>
    <w:rsid w:val="00DD6CFF"/>
    <w:rsid w:val="00DD7A46"/>
    <w:rsid w:val="00DD7AEB"/>
    <w:rsid w:val="00DD7C5F"/>
    <w:rsid w:val="00DE0B9B"/>
    <w:rsid w:val="00DE0CFE"/>
    <w:rsid w:val="00DE1934"/>
    <w:rsid w:val="00DE2715"/>
    <w:rsid w:val="00DE36B1"/>
    <w:rsid w:val="00DE420D"/>
    <w:rsid w:val="00DE6497"/>
    <w:rsid w:val="00DF129C"/>
    <w:rsid w:val="00DF19A4"/>
    <w:rsid w:val="00DF2E8B"/>
    <w:rsid w:val="00DF353F"/>
    <w:rsid w:val="00DF3F30"/>
    <w:rsid w:val="00DF3F8C"/>
    <w:rsid w:val="00DF4857"/>
    <w:rsid w:val="00E00C72"/>
    <w:rsid w:val="00E01298"/>
    <w:rsid w:val="00E032E2"/>
    <w:rsid w:val="00E0470D"/>
    <w:rsid w:val="00E0697C"/>
    <w:rsid w:val="00E06C67"/>
    <w:rsid w:val="00E1044F"/>
    <w:rsid w:val="00E16117"/>
    <w:rsid w:val="00E16FFB"/>
    <w:rsid w:val="00E2007F"/>
    <w:rsid w:val="00E26BF2"/>
    <w:rsid w:val="00E278CD"/>
    <w:rsid w:val="00E305A1"/>
    <w:rsid w:val="00E31178"/>
    <w:rsid w:val="00E36930"/>
    <w:rsid w:val="00E36EED"/>
    <w:rsid w:val="00E425EF"/>
    <w:rsid w:val="00E435A1"/>
    <w:rsid w:val="00E4470F"/>
    <w:rsid w:val="00E45082"/>
    <w:rsid w:val="00E47183"/>
    <w:rsid w:val="00E47A82"/>
    <w:rsid w:val="00E508E5"/>
    <w:rsid w:val="00E50FCB"/>
    <w:rsid w:val="00E55969"/>
    <w:rsid w:val="00E56095"/>
    <w:rsid w:val="00E57CAA"/>
    <w:rsid w:val="00E6009E"/>
    <w:rsid w:val="00E60D1E"/>
    <w:rsid w:val="00E61111"/>
    <w:rsid w:val="00E640A7"/>
    <w:rsid w:val="00E640D1"/>
    <w:rsid w:val="00E71D65"/>
    <w:rsid w:val="00E7272A"/>
    <w:rsid w:val="00E73138"/>
    <w:rsid w:val="00E7505E"/>
    <w:rsid w:val="00E7578E"/>
    <w:rsid w:val="00E75900"/>
    <w:rsid w:val="00E7604B"/>
    <w:rsid w:val="00E77BD5"/>
    <w:rsid w:val="00E808AB"/>
    <w:rsid w:val="00E80A01"/>
    <w:rsid w:val="00E81C5E"/>
    <w:rsid w:val="00E81F6D"/>
    <w:rsid w:val="00E82026"/>
    <w:rsid w:val="00E8203D"/>
    <w:rsid w:val="00E82779"/>
    <w:rsid w:val="00E838E5"/>
    <w:rsid w:val="00E83AD9"/>
    <w:rsid w:val="00E83ADE"/>
    <w:rsid w:val="00E8624E"/>
    <w:rsid w:val="00E87467"/>
    <w:rsid w:val="00E9212C"/>
    <w:rsid w:val="00E93962"/>
    <w:rsid w:val="00E93F32"/>
    <w:rsid w:val="00E946EA"/>
    <w:rsid w:val="00E95A54"/>
    <w:rsid w:val="00EA147E"/>
    <w:rsid w:val="00EA1B5D"/>
    <w:rsid w:val="00EA3853"/>
    <w:rsid w:val="00EA3B42"/>
    <w:rsid w:val="00EA72E7"/>
    <w:rsid w:val="00EB18B0"/>
    <w:rsid w:val="00EB23BE"/>
    <w:rsid w:val="00EB2560"/>
    <w:rsid w:val="00EB25D2"/>
    <w:rsid w:val="00EB42A5"/>
    <w:rsid w:val="00EB528A"/>
    <w:rsid w:val="00EB78F6"/>
    <w:rsid w:val="00EB79E1"/>
    <w:rsid w:val="00EC1687"/>
    <w:rsid w:val="00EC5366"/>
    <w:rsid w:val="00ED013B"/>
    <w:rsid w:val="00ED035E"/>
    <w:rsid w:val="00ED0C23"/>
    <w:rsid w:val="00ED106A"/>
    <w:rsid w:val="00ED21FA"/>
    <w:rsid w:val="00ED23A8"/>
    <w:rsid w:val="00ED475D"/>
    <w:rsid w:val="00ED5813"/>
    <w:rsid w:val="00ED6224"/>
    <w:rsid w:val="00ED716D"/>
    <w:rsid w:val="00EE3A34"/>
    <w:rsid w:val="00EE427C"/>
    <w:rsid w:val="00EE5986"/>
    <w:rsid w:val="00EE62B3"/>
    <w:rsid w:val="00EF053D"/>
    <w:rsid w:val="00EF1690"/>
    <w:rsid w:val="00EF1E83"/>
    <w:rsid w:val="00EF1EDB"/>
    <w:rsid w:val="00EF23DA"/>
    <w:rsid w:val="00EF2B4D"/>
    <w:rsid w:val="00EF39E2"/>
    <w:rsid w:val="00EF5DAF"/>
    <w:rsid w:val="00EF607A"/>
    <w:rsid w:val="00EF651F"/>
    <w:rsid w:val="00EF785A"/>
    <w:rsid w:val="00F00361"/>
    <w:rsid w:val="00F0075E"/>
    <w:rsid w:val="00F0424D"/>
    <w:rsid w:val="00F043EE"/>
    <w:rsid w:val="00F05633"/>
    <w:rsid w:val="00F06FF6"/>
    <w:rsid w:val="00F10A04"/>
    <w:rsid w:val="00F11587"/>
    <w:rsid w:val="00F14334"/>
    <w:rsid w:val="00F14ED5"/>
    <w:rsid w:val="00F2161D"/>
    <w:rsid w:val="00F2164C"/>
    <w:rsid w:val="00F22396"/>
    <w:rsid w:val="00F22739"/>
    <w:rsid w:val="00F2451B"/>
    <w:rsid w:val="00F24AA3"/>
    <w:rsid w:val="00F25ABF"/>
    <w:rsid w:val="00F26AF5"/>
    <w:rsid w:val="00F271C5"/>
    <w:rsid w:val="00F308DD"/>
    <w:rsid w:val="00F31199"/>
    <w:rsid w:val="00F3309F"/>
    <w:rsid w:val="00F33211"/>
    <w:rsid w:val="00F351B6"/>
    <w:rsid w:val="00F35AA5"/>
    <w:rsid w:val="00F364CD"/>
    <w:rsid w:val="00F37D40"/>
    <w:rsid w:val="00F40BAA"/>
    <w:rsid w:val="00F41443"/>
    <w:rsid w:val="00F41DF5"/>
    <w:rsid w:val="00F42EAC"/>
    <w:rsid w:val="00F474A9"/>
    <w:rsid w:val="00F4796E"/>
    <w:rsid w:val="00F512E9"/>
    <w:rsid w:val="00F51BBF"/>
    <w:rsid w:val="00F52EF5"/>
    <w:rsid w:val="00F54665"/>
    <w:rsid w:val="00F55989"/>
    <w:rsid w:val="00F56518"/>
    <w:rsid w:val="00F56ADA"/>
    <w:rsid w:val="00F57001"/>
    <w:rsid w:val="00F60DCD"/>
    <w:rsid w:val="00F63226"/>
    <w:rsid w:val="00F64D0C"/>
    <w:rsid w:val="00F656BB"/>
    <w:rsid w:val="00F66030"/>
    <w:rsid w:val="00F6762D"/>
    <w:rsid w:val="00F67980"/>
    <w:rsid w:val="00F714C4"/>
    <w:rsid w:val="00F72493"/>
    <w:rsid w:val="00F728F9"/>
    <w:rsid w:val="00F729E5"/>
    <w:rsid w:val="00F7365B"/>
    <w:rsid w:val="00F73A05"/>
    <w:rsid w:val="00F74B4D"/>
    <w:rsid w:val="00F752F0"/>
    <w:rsid w:val="00F75462"/>
    <w:rsid w:val="00F804A7"/>
    <w:rsid w:val="00F8491E"/>
    <w:rsid w:val="00F84AB4"/>
    <w:rsid w:val="00F87CB7"/>
    <w:rsid w:val="00F90986"/>
    <w:rsid w:val="00F938C6"/>
    <w:rsid w:val="00F94126"/>
    <w:rsid w:val="00F95650"/>
    <w:rsid w:val="00F96BF8"/>
    <w:rsid w:val="00FA1736"/>
    <w:rsid w:val="00FA1AB1"/>
    <w:rsid w:val="00FA6122"/>
    <w:rsid w:val="00FB09BB"/>
    <w:rsid w:val="00FB22B6"/>
    <w:rsid w:val="00FB4A57"/>
    <w:rsid w:val="00FB519A"/>
    <w:rsid w:val="00FB60C5"/>
    <w:rsid w:val="00FC2BCA"/>
    <w:rsid w:val="00FC2F54"/>
    <w:rsid w:val="00FD0D01"/>
    <w:rsid w:val="00FD0E1B"/>
    <w:rsid w:val="00FD2533"/>
    <w:rsid w:val="00FD3B31"/>
    <w:rsid w:val="00FD4350"/>
    <w:rsid w:val="00FD714E"/>
    <w:rsid w:val="00FD7992"/>
    <w:rsid w:val="00FE04A5"/>
    <w:rsid w:val="00FE1952"/>
    <w:rsid w:val="00FE35AD"/>
    <w:rsid w:val="00FE3892"/>
    <w:rsid w:val="00FE401A"/>
    <w:rsid w:val="00FF029A"/>
    <w:rsid w:val="00FF1C1A"/>
    <w:rsid w:val="00FF2F69"/>
    <w:rsid w:val="00FF3E89"/>
    <w:rsid w:val="00FF5196"/>
    <w:rsid w:val="4533B7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94F"/>
  </w:style>
  <w:style w:type="paragraph" w:styleId="Heading1">
    <w:name w:val="heading 1"/>
    <w:basedOn w:val="Normal"/>
    <w:next w:val="Normal"/>
    <w:link w:val="Heading1Char"/>
    <w:uiPriority w:val="9"/>
    <w:qFormat/>
    <w:rsid w:val="00682F27"/>
    <w:pPr>
      <w:keepNext/>
      <w:keepLines/>
      <w:spacing w:before="240" w:after="0"/>
      <w:jc w:val="both"/>
      <w:outlineLvl w:val="0"/>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199"/>
    <w:pPr>
      <w:ind w:left="720"/>
      <w:contextualSpacing/>
    </w:pPr>
  </w:style>
  <w:style w:type="paragraph" w:customStyle="1" w:styleId="Default">
    <w:name w:val="Default"/>
    <w:rsid w:val="00C13199"/>
    <w:pPr>
      <w:autoSpaceDE w:val="0"/>
      <w:autoSpaceDN w:val="0"/>
      <w:adjustRightInd w:val="0"/>
      <w:spacing w:after="0" w:line="240" w:lineRule="auto"/>
    </w:pPr>
    <w:rPr>
      <w:rFonts w:ascii="Times New Roman" w:hAnsi="Times New Roman" w:cs="Times New Roman"/>
      <w:color w:val="000000"/>
      <w:szCs w:val="24"/>
    </w:rPr>
  </w:style>
  <w:style w:type="paragraph" w:styleId="Title">
    <w:name w:val="Title"/>
    <w:basedOn w:val="Normal"/>
    <w:next w:val="Normal"/>
    <w:link w:val="TitleChar"/>
    <w:uiPriority w:val="10"/>
    <w:qFormat/>
    <w:rsid w:val="00B908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08B3"/>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D70EA1"/>
    <w:rPr>
      <w:sz w:val="16"/>
      <w:szCs w:val="16"/>
    </w:rPr>
  </w:style>
  <w:style w:type="paragraph" w:styleId="CommentText">
    <w:name w:val="annotation text"/>
    <w:basedOn w:val="Normal"/>
    <w:link w:val="CommentTextChar"/>
    <w:uiPriority w:val="99"/>
    <w:semiHidden/>
    <w:unhideWhenUsed/>
    <w:rsid w:val="00D70EA1"/>
    <w:pPr>
      <w:spacing w:line="240" w:lineRule="auto"/>
    </w:pPr>
    <w:rPr>
      <w:sz w:val="20"/>
      <w:szCs w:val="20"/>
    </w:rPr>
  </w:style>
  <w:style w:type="character" w:customStyle="1" w:styleId="CommentTextChar">
    <w:name w:val="Comment Text Char"/>
    <w:basedOn w:val="DefaultParagraphFont"/>
    <w:link w:val="CommentText"/>
    <w:uiPriority w:val="99"/>
    <w:semiHidden/>
    <w:rsid w:val="00D70EA1"/>
    <w:rPr>
      <w:sz w:val="20"/>
      <w:szCs w:val="20"/>
    </w:rPr>
  </w:style>
  <w:style w:type="paragraph" w:styleId="CommentSubject">
    <w:name w:val="annotation subject"/>
    <w:basedOn w:val="CommentText"/>
    <w:next w:val="CommentText"/>
    <w:link w:val="CommentSubjectChar"/>
    <w:uiPriority w:val="99"/>
    <w:semiHidden/>
    <w:unhideWhenUsed/>
    <w:rsid w:val="00D70EA1"/>
    <w:rPr>
      <w:b/>
      <w:bCs/>
    </w:rPr>
  </w:style>
  <w:style w:type="character" w:customStyle="1" w:styleId="CommentSubjectChar">
    <w:name w:val="Comment Subject Char"/>
    <w:basedOn w:val="CommentTextChar"/>
    <w:link w:val="CommentSubject"/>
    <w:uiPriority w:val="99"/>
    <w:semiHidden/>
    <w:rsid w:val="00D70EA1"/>
    <w:rPr>
      <w:b/>
      <w:bCs/>
      <w:sz w:val="20"/>
      <w:szCs w:val="20"/>
    </w:rPr>
  </w:style>
  <w:style w:type="table" w:styleId="TableGrid">
    <w:name w:val="Table Grid"/>
    <w:basedOn w:val="TableNormal"/>
    <w:uiPriority w:val="39"/>
    <w:rsid w:val="0067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3478BF"/>
    <w:pPr>
      <w:keepNext/>
      <w:spacing w:after="0" w:line="240" w:lineRule="auto"/>
      <w:ind w:left="-180" w:right="-270"/>
      <w:jc w:val="center"/>
    </w:pPr>
    <w:rPr>
      <w:b/>
      <w:i/>
      <w:iCs/>
      <w:szCs w:val="18"/>
    </w:rPr>
  </w:style>
  <w:style w:type="paragraph" w:styleId="Header">
    <w:name w:val="header"/>
    <w:basedOn w:val="Normal"/>
    <w:link w:val="HeaderChar"/>
    <w:uiPriority w:val="99"/>
    <w:unhideWhenUsed/>
    <w:rsid w:val="007C41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1CB"/>
  </w:style>
  <w:style w:type="paragraph" w:styleId="Footer">
    <w:name w:val="footer"/>
    <w:basedOn w:val="Normal"/>
    <w:link w:val="FooterChar"/>
    <w:uiPriority w:val="99"/>
    <w:unhideWhenUsed/>
    <w:rsid w:val="007C4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1CB"/>
  </w:style>
  <w:style w:type="character" w:styleId="Hyperlink">
    <w:name w:val="Hyperlink"/>
    <w:basedOn w:val="DefaultParagraphFont"/>
    <w:uiPriority w:val="99"/>
    <w:unhideWhenUsed/>
    <w:rsid w:val="00617597"/>
    <w:rPr>
      <w:color w:val="0563C1" w:themeColor="hyperlink"/>
      <w:u w:val="single"/>
    </w:rPr>
  </w:style>
  <w:style w:type="character" w:customStyle="1" w:styleId="UnresolvedMention1">
    <w:name w:val="Unresolved Mention1"/>
    <w:basedOn w:val="DefaultParagraphFont"/>
    <w:uiPriority w:val="99"/>
    <w:semiHidden/>
    <w:unhideWhenUsed/>
    <w:rsid w:val="00617597"/>
    <w:rPr>
      <w:color w:val="605E5C"/>
      <w:shd w:val="clear" w:color="auto" w:fill="E1DFDD"/>
    </w:rPr>
  </w:style>
  <w:style w:type="paragraph" w:styleId="NormalWeb">
    <w:name w:val="Normal (Web)"/>
    <w:basedOn w:val="Normal"/>
    <w:uiPriority w:val="99"/>
    <w:semiHidden/>
    <w:unhideWhenUsed/>
    <w:rsid w:val="00205FFD"/>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682F27"/>
    <w:rPr>
      <w:rFonts w:asciiTheme="majorHAnsi" w:eastAsiaTheme="majorEastAsia" w:hAnsiTheme="majorHAnsi" w:cstheme="majorBidi"/>
      <w:b/>
      <w:bCs/>
      <w:sz w:val="32"/>
      <w:szCs w:val="32"/>
    </w:rPr>
  </w:style>
  <w:style w:type="character" w:styleId="FollowedHyperlink">
    <w:name w:val="FollowedHyperlink"/>
    <w:basedOn w:val="DefaultParagraphFont"/>
    <w:uiPriority w:val="99"/>
    <w:semiHidden/>
    <w:unhideWhenUsed/>
    <w:rsid w:val="007C210F"/>
    <w:rPr>
      <w:color w:val="800080"/>
      <w:u w:val="single"/>
    </w:rPr>
  </w:style>
  <w:style w:type="paragraph" w:customStyle="1" w:styleId="msonormal0">
    <w:name w:val="msonormal"/>
    <w:basedOn w:val="Normal"/>
    <w:rsid w:val="007C210F"/>
    <w:pPr>
      <w:spacing w:before="100" w:beforeAutospacing="1" w:after="100" w:afterAutospacing="1" w:line="240" w:lineRule="auto"/>
    </w:pPr>
    <w:rPr>
      <w:rFonts w:ascii="Times New Roman" w:eastAsia="Times New Roman" w:hAnsi="Times New Roman" w:cs="Times New Roman"/>
      <w:szCs w:val="24"/>
    </w:rPr>
  </w:style>
  <w:style w:type="paragraph" w:customStyle="1" w:styleId="font5">
    <w:name w:val="font5"/>
    <w:basedOn w:val="Normal"/>
    <w:rsid w:val="007C210F"/>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6">
    <w:name w:val="font6"/>
    <w:basedOn w:val="Normal"/>
    <w:rsid w:val="007C210F"/>
    <w:pPr>
      <w:spacing w:before="100" w:beforeAutospacing="1" w:after="100" w:afterAutospacing="1" w:line="240" w:lineRule="auto"/>
    </w:pPr>
    <w:rPr>
      <w:rFonts w:ascii="Tahoma" w:eastAsia="Times New Roman" w:hAnsi="Tahoma" w:cs="Tahoma"/>
      <w:color w:val="000000"/>
      <w:sz w:val="18"/>
      <w:szCs w:val="18"/>
    </w:rPr>
  </w:style>
  <w:style w:type="paragraph" w:customStyle="1" w:styleId="xl67">
    <w:name w:val="xl67"/>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68">
    <w:name w:val="xl68"/>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69">
    <w:name w:val="xl69"/>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70">
    <w:name w:val="xl70"/>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71">
    <w:name w:val="xl71"/>
    <w:basedOn w:val="Normal"/>
    <w:rsid w:val="007C21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72">
    <w:name w:val="xl72"/>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73">
    <w:name w:val="xl73"/>
    <w:basedOn w:val="Normal"/>
    <w:rsid w:val="007C21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74">
    <w:name w:val="xl74"/>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75">
    <w:name w:val="xl75"/>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76">
    <w:name w:val="xl76"/>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77">
    <w:name w:val="xl77"/>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78">
    <w:name w:val="xl78"/>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79">
    <w:name w:val="xl79"/>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80">
    <w:name w:val="xl80"/>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81">
    <w:name w:val="xl81"/>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82">
    <w:name w:val="xl82"/>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xl83">
    <w:name w:val="xl83"/>
    <w:basedOn w:val="Normal"/>
    <w:rsid w:val="007C21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4"/>
    </w:rPr>
  </w:style>
  <w:style w:type="paragraph" w:customStyle="1" w:styleId="xl84">
    <w:name w:val="xl84"/>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85">
    <w:name w:val="xl85"/>
    <w:basedOn w:val="Normal"/>
    <w:rsid w:val="007C210F"/>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Cs w:val="24"/>
    </w:rPr>
  </w:style>
  <w:style w:type="paragraph" w:customStyle="1" w:styleId="xl86">
    <w:name w:val="xl86"/>
    <w:basedOn w:val="Normal"/>
    <w:rsid w:val="007C210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87">
    <w:name w:val="xl87"/>
    <w:basedOn w:val="Normal"/>
    <w:rsid w:val="007C210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88">
    <w:name w:val="xl88"/>
    <w:basedOn w:val="Normal"/>
    <w:rsid w:val="007C210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89">
    <w:name w:val="xl89"/>
    <w:basedOn w:val="Normal"/>
    <w:rsid w:val="007C210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90">
    <w:name w:val="xl90"/>
    <w:basedOn w:val="Normal"/>
    <w:rsid w:val="007C210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91">
    <w:name w:val="xl91"/>
    <w:basedOn w:val="Normal"/>
    <w:rsid w:val="007C21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65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E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602086">
      <w:bodyDiv w:val="1"/>
      <w:marLeft w:val="0"/>
      <w:marRight w:val="0"/>
      <w:marTop w:val="0"/>
      <w:marBottom w:val="0"/>
      <w:divBdr>
        <w:top w:val="none" w:sz="0" w:space="0" w:color="auto"/>
        <w:left w:val="none" w:sz="0" w:space="0" w:color="auto"/>
        <w:bottom w:val="none" w:sz="0" w:space="0" w:color="auto"/>
        <w:right w:val="none" w:sz="0" w:space="0" w:color="auto"/>
      </w:divBdr>
    </w:div>
    <w:div w:id="143470985">
      <w:bodyDiv w:val="1"/>
      <w:marLeft w:val="0"/>
      <w:marRight w:val="0"/>
      <w:marTop w:val="0"/>
      <w:marBottom w:val="0"/>
      <w:divBdr>
        <w:top w:val="none" w:sz="0" w:space="0" w:color="auto"/>
        <w:left w:val="none" w:sz="0" w:space="0" w:color="auto"/>
        <w:bottom w:val="none" w:sz="0" w:space="0" w:color="auto"/>
        <w:right w:val="none" w:sz="0" w:space="0" w:color="auto"/>
      </w:divBdr>
    </w:div>
    <w:div w:id="166335826">
      <w:bodyDiv w:val="1"/>
      <w:marLeft w:val="0"/>
      <w:marRight w:val="0"/>
      <w:marTop w:val="0"/>
      <w:marBottom w:val="0"/>
      <w:divBdr>
        <w:top w:val="none" w:sz="0" w:space="0" w:color="auto"/>
        <w:left w:val="none" w:sz="0" w:space="0" w:color="auto"/>
        <w:bottom w:val="none" w:sz="0" w:space="0" w:color="auto"/>
        <w:right w:val="none" w:sz="0" w:space="0" w:color="auto"/>
      </w:divBdr>
    </w:div>
    <w:div w:id="169755469">
      <w:bodyDiv w:val="1"/>
      <w:marLeft w:val="0"/>
      <w:marRight w:val="0"/>
      <w:marTop w:val="0"/>
      <w:marBottom w:val="0"/>
      <w:divBdr>
        <w:top w:val="none" w:sz="0" w:space="0" w:color="auto"/>
        <w:left w:val="none" w:sz="0" w:space="0" w:color="auto"/>
        <w:bottom w:val="none" w:sz="0" w:space="0" w:color="auto"/>
        <w:right w:val="none" w:sz="0" w:space="0" w:color="auto"/>
      </w:divBdr>
    </w:div>
    <w:div w:id="224412440">
      <w:bodyDiv w:val="1"/>
      <w:marLeft w:val="0"/>
      <w:marRight w:val="0"/>
      <w:marTop w:val="0"/>
      <w:marBottom w:val="0"/>
      <w:divBdr>
        <w:top w:val="none" w:sz="0" w:space="0" w:color="auto"/>
        <w:left w:val="none" w:sz="0" w:space="0" w:color="auto"/>
        <w:bottom w:val="none" w:sz="0" w:space="0" w:color="auto"/>
        <w:right w:val="none" w:sz="0" w:space="0" w:color="auto"/>
      </w:divBdr>
    </w:div>
    <w:div w:id="480198583">
      <w:bodyDiv w:val="1"/>
      <w:marLeft w:val="0"/>
      <w:marRight w:val="0"/>
      <w:marTop w:val="0"/>
      <w:marBottom w:val="0"/>
      <w:divBdr>
        <w:top w:val="none" w:sz="0" w:space="0" w:color="auto"/>
        <w:left w:val="none" w:sz="0" w:space="0" w:color="auto"/>
        <w:bottom w:val="none" w:sz="0" w:space="0" w:color="auto"/>
        <w:right w:val="none" w:sz="0" w:space="0" w:color="auto"/>
      </w:divBdr>
    </w:div>
    <w:div w:id="580985314">
      <w:bodyDiv w:val="1"/>
      <w:marLeft w:val="0"/>
      <w:marRight w:val="0"/>
      <w:marTop w:val="0"/>
      <w:marBottom w:val="0"/>
      <w:divBdr>
        <w:top w:val="none" w:sz="0" w:space="0" w:color="auto"/>
        <w:left w:val="none" w:sz="0" w:space="0" w:color="auto"/>
        <w:bottom w:val="none" w:sz="0" w:space="0" w:color="auto"/>
        <w:right w:val="none" w:sz="0" w:space="0" w:color="auto"/>
      </w:divBdr>
    </w:div>
    <w:div w:id="678117618">
      <w:bodyDiv w:val="1"/>
      <w:marLeft w:val="0"/>
      <w:marRight w:val="0"/>
      <w:marTop w:val="0"/>
      <w:marBottom w:val="0"/>
      <w:divBdr>
        <w:top w:val="none" w:sz="0" w:space="0" w:color="auto"/>
        <w:left w:val="none" w:sz="0" w:space="0" w:color="auto"/>
        <w:bottom w:val="none" w:sz="0" w:space="0" w:color="auto"/>
        <w:right w:val="none" w:sz="0" w:space="0" w:color="auto"/>
      </w:divBdr>
    </w:div>
    <w:div w:id="755054254">
      <w:bodyDiv w:val="1"/>
      <w:marLeft w:val="0"/>
      <w:marRight w:val="0"/>
      <w:marTop w:val="0"/>
      <w:marBottom w:val="0"/>
      <w:divBdr>
        <w:top w:val="none" w:sz="0" w:space="0" w:color="auto"/>
        <w:left w:val="none" w:sz="0" w:space="0" w:color="auto"/>
        <w:bottom w:val="none" w:sz="0" w:space="0" w:color="auto"/>
        <w:right w:val="none" w:sz="0" w:space="0" w:color="auto"/>
      </w:divBdr>
    </w:div>
    <w:div w:id="800928525">
      <w:bodyDiv w:val="1"/>
      <w:marLeft w:val="0"/>
      <w:marRight w:val="0"/>
      <w:marTop w:val="0"/>
      <w:marBottom w:val="0"/>
      <w:divBdr>
        <w:top w:val="none" w:sz="0" w:space="0" w:color="auto"/>
        <w:left w:val="none" w:sz="0" w:space="0" w:color="auto"/>
        <w:bottom w:val="none" w:sz="0" w:space="0" w:color="auto"/>
        <w:right w:val="none" w:sz="0" w:space="0" w:color="auto"/>
      </w:divBdr>
    </w:div>
    <w:div w:id="813987629">
      <w:bodyDiv w:val="1"/>
      <w:marLeft w:val="0"/>
      <w:marRight w:val="0"/>
      <w:marTop w:val="0"/>
      <w:marBottom w:val="0"/>
      <w:divBdr>
        <w:top w:val="none" w:sz="0" w:space="0" w:color="auto"/>
        <w:left w:val="none" w:sz="0" w:space="0" w:color="auto"/>
        <w:bottom w:val="none" w:sz="0" w:space="0" w:color="auto"/>
        <w:right w:val="none" w:sz="0" w:space="0" w:color="auto"/>
      </w:divBdr>
    </w:div>
    <w:div w:id="826359927">
      <w:bodyDiv w:val="1"/>
      <w:marLeft w:val="0"/>
      <w:marRight w:val="0"/>
      <w:marTop w:val="0"/>
      <w:marBottom w:val="0"/>
      <w:divBdr>
        <w:top w:val="none" w:sz="0" w:space="0" w:color="auto"/>
        <w:left w:val="none" w:sz="0" w:space="0" w:color="auto"/>
        <w:bottom w:val="none" w:sz="0" w:space="0" w:color="auto"/>
        <w:right w:val="none" w:sz="0" w:space="0" w:color="auto"/>
      </w:divBdr>
    </w:div>
    <w:div w:id="869686063">
      <w:bodyDiv w:val="1"/>
      <w:marLeft w:val="0"/>
      <w:marRight w:val="0"/>
      <w:marTop w:val="0"/>
      <w:marBottom w:val="0"/>
      <w:divBdr>
        <w:top w:val="none" w:sz="0" w:space="0" w:color="auto"/>
        <w:left w:val="none" w:sz="0" w:space="0" w:color="auto"/>
        <w:bottom w:val="none" w:sz="0" w:space="0" w:color="auto"/>
        <w:right w:val="none" w:sz="0" w:space="0" w:color="auto"/>
      </w:divBdr>
    </w:div>
    <w:div w:id="869732218">
      <w:bodyDiv w:val="1"/>
      <w:marLeft w:val="0"/>
      <w:marRight w:val="0"/>
      <w:marTop w:val="0"/>
      <w:marBottom w:val="0"/>
      <w:divBdr>
        <w:top w:val="none" w:sz="0" w:space="0" w:color="auto"/>
        <w:left w:val="none" w:sz="0" w:space="0" w:color="auto"/>
        <w:bottom w:val="none" w:sz="0" w:space="0" w:color="auto"/>
        <w:right w:val="none" w:sz="0" w:space="0" w:color="auto"/>
      </w:divBdr>
    </w:div>
    <w:div w:id="903762986">
      <w:bodyDiv w:val="1"/>
      <w:marLeft w:val="0"/>
      <w:marRight w:val="0"/>
      <w:marTop w:val="0"/>
      <w:marBottom w:val="0"/>
      <w:divBdr>
        <w:top w:val="none" w:sz="0" w:space="0" w:color="auto"/>
        <w:left w:val="none" w:sz="0" w:space="0" w:color="auto"/>
        <w:bottom w:val="none" w:sz="0" w:space="0" w:color="auto"/>
        <w:right w:val="none" w:sz="0" w:space="0" w:color="auto"/>
      </w:divBdr>
    </w:div>
    <w:div w:id="904070182">
      <w:bodyDiv w:val="1"/>
      <w:marLeft w:val="0"/>
      <w:marRight w:val="0"/>
      <w:marTop w:val="0"/>
      <w:marBottom w:val="0"/>
      <w:divBdr>
        <w:top w:val="none" w:sz="0" w:space="0" w:color="auto"/>
        <w:left w:val="none" w:sz="0" w:space="0" w:color="auto"/>
        <w:bottom w:val="none" w:sz="0" w:space="0" w:color="auto"/>
        <w:right w:val="none" w:sz="0" w:space="0" w:color="auto"/>
      </w:divBdr>
    </w:div>
    <w:div w:id="956058549">
      <w:bodyDiv w:val="1"/>
      <w:marLeft w:val="0"/>
      <w:marRight w:val="0"/>
      <w:marTop w:val="0"/>
      <w:marBottom w:val="0"/>
      <w:divBdr>
        <w:top w:val="none" w:sz="0" w:space="0" w:color="auto"/>
        <w:left w:val="none" w:sz="0" w:space="0" w:color="auto"/>
        <w:bottom w:val="none" w:sz="0" w:space="0" w:color="auto"/>
        <w:right w:val="none" w:sz="0" w:space="0" w:color="auto"/>
      </w:divBdr>
    </w:div>
    <w:div w:id="962929968">
      <w:bodyDiv w:val="1"/>
      <w:marLeft w:val="0"/>
      <w:marRight w:val="0"/>
      <w:marTop w:val="0"/>
      <w:marBottom w:val="0"/>
      <w:divBdr>
        <w:top w:val="none" w:sz="0" w:space="0" w:color="auto"/>
        <w:left w:val="none" w:sz="0" w:space="0" w:color="auto"/>
        <w:bottom w:val="none" w:sz="0" w:space="0" w:color="auto"/>
        <w:right w:val="none" w:sz="0" w:space="0" w:color="auto"/>
      </w:divBdr>
    </w:div>
    <w:div w:id="994991645">
      <w:bodyDiv w:val="1"/>
      <w:marLeft w:val="0"/>
      <w:marRight w:val="0"/>
      <w:marTop w:val="0"/>
      <w:marBottom w:val="0"/>
      <w:divBdr>
        <w:top w:val="none" w:sz="0" w:space="0" w:color="auto"/>
        <w:left w:val="none" w:sz="0" w:space="0" w:color="auto"/>
        <w:bottom w:val="none" w:sz="0" w:space="0" w:color="auto"/>
        <w:right w:val="none" w:sz="0" w:space="0" w:color="auto"/>
      </w:divBdr>
    </w:div>
    <w:div w:id="1002976194">
      <w:bodyDiv w:val="1"/>
      <w:marLeft w:val="0"/>
      <w:marRight w:val="0"/>
      <w:marTop w:val="0"/>
      <w:marBottom w:val="0"/>
      <w:divBdr>
        <w:top w:val="none" w:sz="0" w:space="0" w:color="auto"/>
        <w:left w:val="none" w:sz="0" w:space="0" w:color="auto"/>
        <w:bottom w:val="none" w:sz="0" w:space="0" w:color="auto"/>
        <w:right w:val="none" w:sz="0" w:space="0" w:color="auto"/>
      </w:divBdr>
    </w:div>
    <w:div w:id="1078093811">
      <w:bodyDiv w:val="1"/>
      <w:marLeft w:val="0"/>
      <w:marRight w:val="0"/>
      <w:marTop w:val="0"/>
      <w:marBottom w:val="0"/>
      <w:divBdr>
        <w:top w:val="none" w:sz="0" w:space="0" w:color="auto"/>
        <w:left w:val="none" w:sz="0" w:space="0" w:color="auto"/>
        <w:bottom w:val="none" w:sz="0" w:space="0" w:color="auto"/>
        <w:right w:val="none" w:sz="0" w:space="0" w:color="auto"/>
      </w:divBdr>
    </w:div>
    <w:div w:id="1082288559">
      <w:bodyDiv w:val="1"/>
      <w:marLeft w:val="0"/>
      <w:marRight w:val="0"/>
      <w:marTop w:val="0"/>
      <w:marBottom w:val="0"/>
      <w:divBdr>
        <w:top w:val="none" w:sz="0" w:space="0" w:color="auto"/>
        <w:left w:val="none" w:sz="0" w:space="0" w:color="auto"/>
        <w:bottom w:val="none" w:sz="0" w:space="0" w:color="auto"/>
        <w:right w:val="none" w:sz="0" w:space="0" w:color="auto"/>
      </w:divBdr>
    </w:div>
    <w:div w:id="1133670357">
      <w:bodyDiv w:val="1"/>
      <w:marLeft w:val="0"/>
      <w:marRight w:val="0"/>
      <w:marTop w:val="0"/>
      <w:marBottom w:val="0"/>
      <w:divBdr>
        <w:top w:val="none" w:sz="0" w:space="0" w:color="auto"/>
        <w:left w:val="none" w:sz="0" w:space="0" w:color="auto"/>
        <w:bottom w:val="none" w:sz="0" w:space="0" w:color="auto"/>
        <w:right w:val="none" w:sz="0" w:space="0" w:color="auto"/>
      </w:divBdr>
    </w:div>
    <w:div w:id="1152217882">
      <w:bodyDiv w:val="1"/>
      <w:marLeft w:val="0"/>
      <w:marRight w:val="0"/>
      <w:marTop w:val="0"/>
      <w:marBottom w:val="0"/>
      <w:divBdr>
        <w:top w:val="none" w:sz="0" w:space="0" w:color="auto"/>
        <w:left w:val="none" w:sz="0" w:space="0" w:color="auto"/>
        <w:bottom w:val="none" w:sz="0" w:space="0" w:color="auto"/>
        <w:right w:val="none" w:sz="0" w:space="0" w:color="auto"/>
      </w:divBdr>
    </w:div>
    <w:div w:id="1275363275">
      <w:bodyDiv w:val="1"/>
      <w:marLeft w:val="0"/>
      <w:marRight w:val="0"/>
      <w:marTop w:val="0"/>
      <w:marBottom w:val="0"/>
      <w:divBdr>
        <w:top w:val="none" w:sz="0" w:space="0" w:color="auto"/>
        <w:left w:val="none" w:sz="0" w:space="0" w:color="auto"/>
        <w:bottom w:val="none" w:sz="0" w:space="0" w:color="auto"/>
        <w:right w:val="none" w:sz="0" w:space="0" w:color="auto"/>
      </w:divBdr>
    </w:div>
    <w:div w:id="1412847682">
      <w:bodyDiv w:val="1"/>
      <w:marLeft w:val="0"/>
      <w:marRight w:val="0"/>
      <w:marTop w:val="0"/>
      <w:marBottom w:val="0"/>
      <w:divBdr>
        <w:top w:val="none" w:sz="0" w:space="0" w:color="auto"/>
        <w:left w:val="none" w:sz="0" w:space="0" w:color="auto"/>
        <w:bottom w:val="none" w:sz="0" w:space="0" w:color="auto"/>
        <w:right w:val="none" w:sz="0" w:space="0" w:color="auto"/>
      </w:divBdr>
    </w:div>
    <w:div w:id="1539392555">
      <w:bodyDiv w:val="1"/>
      <w:marLeft w:val="0"/>
      <w:marRight w:val="0"/>
      <w:marTop w:val="0"/>
      <w:marBottom w:val="0"/>
      <w:divBdr>
        <w:top w:val="none" w:sz="0" w:space="0" w:color="auto"/>
        <w:left w:val="none" w:sz="0" w:space="0" w:color="auto"/>
        <w:bottom w:val="none" w:sz="0" w:space="0" w:color="auto"/>
        <w:right w:val="none" w:sz="0" w:space="0" w:color="auto"/>
      </w:divBdr>
    </w:div>
    <w:div w:id="1560633877">
      <w:bodyDiv w:val="1"/>
      <w:marLeft w:val="0"/>
      <w:marRight w:val="0"/>
      <w:marTop w:val="0"/>
      <w:marBottom w:val="0"/>
      <w:divBdr>
        <w:top w:val="none" w:sz="0" w:space="0" w:color="auto"/>
        <w:left w:val="none" w:sz="0" w:space="0" w:color="auto"/>
        <w:bottom w:val="none" w:sz="0" w:space="0" w:color="auto"/>
        <w:right w:val="none" w:sz="0" w:space="0" w:color="auto"/>
      </w:divBdr>
    </w:div>
    <w:div w:id="1573153216">
      <w:bodyDiv w:val="1"/>
      <w:marLeft w:val="0"/>
      <w:marRight w:val="0"/>
      <w:marTop w:val="0"/>
      <w:marBottom w:val="0"/>
      <w:divBdr>
        <w:top w:val="none" w:sz="0" w:space="0" w:color="auto"/>
        <w:left w:val="none" w:sz="0" w:space="0" w:color="auto"/>
        <w:bottom w:val="none" w:sz="0" w:space="0" w:color="auto"/>
        <w:right w:val="none" w:sz="0" w:space="0" w:color="auto"/>
      </w:divBdr>
    </w:div>
    <w:div w:id="1594971299">
      <w:bodyDiv w:val="1"/>
      <w:marLeft w:val="0"/>
      <w:marRight w:val="0"/>
      <w:marTop w:val="0"/>
      <w:marBottom w:val="0"/>
      <w:divBdr>
        <w:top w:val="none" w:sz="0" w:space="0" w:color="auto"/>
        <w:left w:val="none" w:sz="0" w:space="0" w:color="auto"/>
        <w:bottom w:val="none" w:sz="0" w:space="0" w:color="auto"/>
        <w:right w:val="none" w:sz="0" w:space="0" w:color="auto"/>
      </w:divBdr>
    </w:div>
    <w:div w:id="1782802402">
      <w:bodyDiv w:val="1"/>
      <w:marLeft w:val="0"/>
      <w:marRight w:val="0"/>
      <w:marTop w:val="0"/>
      <w:marBottom w:val="0"/>
      <w:divBdr>
        <w:top w:val="none" w:sz="0" w:space="0" w:color="auto"/>
        <w:left w:val="none" w:sz="0" w:space="0" w:color="auto"/>
        <w:bottom w:val="none" w:sz="0" w:space="0" w:color="auto"/>
        <w:right w:val="none" w:sz="0" w:space="0" w:color="auto"/>
      </w:divBdr>
    </w:div>
    <w:div w:id="1959751382">
      <w:bodyDiv w:val="1"/>
      <w:marLeft w:val="0"/>
      <w:marRight w:val="0"/>
      <w:marTop w:val="0"/>
      <w:marBottom w:val="0"/>
      <w:divBdr>
        <w:top w:val="none" w:sz="0" w:space="0" w:color="auto"/>
        <w:left w:val="none" w:sz="0" w:space="0" w:color="auto"/>
        <w:bottom w:val="none" w:sz="0" w:space="0" w:color="auto"/>
        <w:right w:val="none" w:sz="0" w:space="0" w:color="auto"/>
      </w:divBdr>
    </w:div>
    <w:div w:id="1995720097">
      <w:bodyDiv w:val="1"/>
      <w:marLeft w:val="0"/>
      <w:marRight w:val="0"/>
      <w:marTop w:val="0"/>
      <w:marBottom w:val="0"/>
      <w:divBdr>
        <w:top w:val="none" w:sz="0" w:space="0" w:color="auto"/>
        <w:left w:val="none" w:sz="0" w:space="0" w:color="auto"/>
        <w:bottom w:val="none" w:sz="0" w:space="0" w:color="auto"/>
        <w:right w:val="none" w:sz="0" w:space="0" w:color="auto"/>
      </w:divBdr>
    </w:div>
    <w:div w:id="2046174354">
      <w:bodyDiv w:val="1"/>
      <w:marLeft w:val="0"/>
      <w:marRight w:val="0"/>
      <w:marTop w:val="0"/>
      <w:marBottom w:val="0"/>
      <w:divBdr>
        <w:top w:val="none" w:sz="0" w:space="0" w:color="auto"/>
        <w:left w:val="none" w:sz="0" w:space="0" w:color="auto"/>
        <w:bottom w:val="none" w:sz="0" w:space="0" w:color="auto"/>
        <w:right w:val="none" w:sz="0" w:space="0" w:color="auto"/>
      </w:divBdr>
    </w:div>
    <w:div w:id="20659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wermin.gov.in/en/content/power-sector-glance-all-india" TargetMode="Externa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thehindu.com/news/nationa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wermin.gov.in/en/content/power-sector-glance-all-indi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4197</Words>
  <Characters>23923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28064</CharactersWithSpaces>
  <SharedDoc>false</SharedDoc>
  <HLinks>
    <vt:vector size="12" baseType="variant">
      <vt:variant>
        <vt:i4>1835015</vt:i4>
      </vt:variant>
      <vt:variant>
        <vt:i4>27</vt:i4>
      </vt:variant>
      <vt:variant>
        <vt:i4>0</vt:i4>
      </vt:variant>
      <vt:variant>
        <vt:i4>5</vt:i4>
      </vt:variant>
      <vt:variant>
        <vt:lpwstr>https://powermin.gov.in/en/content/power-sector-glance-all-india</vt:lpwstr>
      </vt:variant>
      <vt:variant>
        <vt:lpwstr/>
      </vt:variant>
      <vt:variant>
        <vt:i4>1835015</vt:i4>
      </vt:variant>
      <vt:variant>
        <vt:i4>24</vt:i4>
      </vt:variant>
      <vt:variant>
        <vt:i4>0</vt:i4>
      </vt:variant>
      <vt:variant>
        <vt:i4>5</vt:i4>
      </vt:variant>
      <vt:variant>
        <vt:lpwstr>https://powermin.gov.in/en/content/power-sector-glance-all-india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Dilip Koty (IN)</dc:creator>
  <cp:lastModifiedBy>TSSPDCL</cp:lastModifiedBy>
  <cp:revision>5</cp:revision>
  <cp:lastPrinted>2023-09-16T07:26:00Z</cp:lastPrinted>
  <dcterms:created xsi:type="dcterms:W3CDTF">2023-09-16T05:49:00Z</dcterms:created>
  <dcterms:modified xsi:type="dcterms:W3CDTF">2023-09-16T07:27:00Z</dcterms:modified>
</cp:coreProperties>
</file>